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8717A" w14:textId="77777777" w:rsidR="005C5826" w:rsidRDefault="00A35ED0" w:rsidP="00001954">
      <w:pPr>
        <w:pStyle w:val="MainTitle"/>
        <w:spacing w:line="204" w:lineRule="auto"/>
      </w:pPr>
      <w:bookmarkStart w:id="0" w:name="_GoBack"/>
      <w:bookmarkEnd w:id="0"/>
      <w:r>
        <w:rPr>
          <w:noProof/>
        </w:rPr>
        <w:drawing>
          <wp:anchor distT="0" distB="0" distL="114300" distR="114300" simplePos="0" relativeHeight="251658240" behindDoc="0" locked="1" layoutInCell="1" allowOverlap="1" wp14:anchorId="00A3DF64" wp14:editId="29BDBF52">
            <wp:simplePos x="0" y="0"/>
            <wp:positionH relativeFrom="margin">
              <wp:posOffset>5080000</wp:posOffset>
            </wp:positionH>
            <wp:positionV relativeFrom="margin">
              <wp:posOffset>5969000</wp:posOffset>
            </wp:positionV>
            <wp:extent cx="1645923" cy="1120142"/>
            <wp:effectExtent l="0" t="0" r="0" b="0"/>
            <wp:wrapNone/>
            <wp:docPr id="100037" name="Picture 100037"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80064" name=""/>
                    <pic:cNvPicPr>
                      <a:picLocks noChangeAspect="1"/>
                    </pic:cNvPicPr>
                  </pic:nvPicPr>
                  <pic:blipFill>
                    <a:blip r:embed="rId7"/>
                    <a:stretch>
                      <a:fillRect/>
                    </a:stretch>
                  </pic:blipFill>
                  <pic:spPr>
                    <a:xfrm>
                      <a:off x="0" y="0"/>
                      <a:ext cx="1645923" cy="1120142"/>
                    </a:xfrm>
                    <a:prstGeom prst="rect">
                      <a:avLst/>
                    </a:prstGeom>
                  </pic:spPr>
                </pic:pic>
              </a:graphicData>
            </a:graphic>
          </wp:anchor>
        </w:drawing>
      </w:r>
      <w:r>
        <w:t xml:space="preserve">DOL Clarifies Exemptions to Coronavirus </w:t>
      </w:r>
      <w:r w:rsidRPr="00F31BB9">
        <w:t>Paid</w:t>
      </w:r>
      <w:r>
        <w:t xml:space="preserve"> Leave Laws</w:t>
      </w:r>
    </w:p>
    <w:p w14:paraId="78F64436" w14:textId="77777777" w:rsidR="00F31BB9" w:rsidRDefault="00A35ED0" w:rsidP="005517E2">
      <w:pPr>
        <w:pStyle w:val="BodyText"/>
      </w:pPr>
      <w:r>
        <w:rPr>
          <w:noProof/>
        </w:rPr>
        <mc:AlternateContent>
          <mc:Choice Requires="wpg">
            <w:drawing>
              <wp:anchor distT="0" distB="0" distL="114300" distR="114300" simplePos="0" relativeHeight="251669504" behindDoc="0" locked="0" layoutInCell="1" allowOverlap="1" wp14:anchorId="6F6164E9" wp14:editId="066925DD">
                <wp:simplePos x="0" y="0"/>
                <wp:positionH relativeFrom="column">
                  <wp:posOffset>4419600</wp:posOffset>
                </wp:positionH>
                <wp:positionV relativeFrom="page">
                  <wp:posOffset>5911215</wp:posOffset>
                </wp:positionV>
                <wp:extent cx="3331845" cy="367030"/>
                <wp:effectExtent l="0" t="0" r="1905" b="0"/>
                <wp:wrapNone/>
                <wp:docPr id="42" name="Group 42"/>
                <wp:cNvGraphicFramePr/>
                <a:graphic xmlns:a="http://schemas.openxmlformats.org/drawingml/2006/main">
                  <a:graphicData uri="http://schemas.microsoft.com/office/word/2010/wordprocessingGroup">
                    <wpg:wgp>
                      <wpg:cNvGrpSpPr/>
                      <wpg:grpSpPr>
                        <a:xfrm>
                          <a:off x="0" y="0"/>
                          <a:ext cx="3324242" cy="367029"/>
                          <a:chOff x="3801" y="0"/>
                          <a:chExt cx="3324242" cy="367029"/>
                        </a:xfrm>
                      </wpg:grpSpPr>
                      <pic:pic xmlns:pic="http://schemas.openxmlformats.org/drawingml/2006/picture">
                        <pic:nvPicPr>
                          <pic:cNvPr id="40" name="Picture 4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41" name="Text Box 41"/>
                        <wps:cNvSpPr txBox="1">
                          <a:spLocks noChangeArrowheads="1"/>
                        </wps:cNvSpPr>
                        <wps:spPr bwMode="auto">
                          <a:xfrm>
                            <a:off x="123290" y="20549"/>
                            <a:ext cx="2413000" cy="329565"/>
                          </a:xfrm>
                          <a:prstGeom prst="rect">
                            <a:avLst/>
                          </a:prstGeom>
                          <a:noFill/>
                          <a:ln w="9525">
                            <a:noFill/>
                            <a:miter lim="800000"/>
                            <a:headEnd/>
                            <a:tailEnd/>
                          </a:ln>
                        </wps:spPr>
                        <wps:txbx>
                          <w:txbxContent>
                            <w:p w14:paraId="74209E10" w14:textId="77777777" w:rsidR="00E375D9" w:rsidRPr="00A8186B" w:rsidRDefault="00A35ED0" w:rsidP="00E375D9">
                              <w:pPr>
                                <w:pStyle w:val="SubHeader"/>
                                <w:rPr>
                                  <w:color w:val="FFFFFF" w:themeColor="background1"/>
                                  <w:sz w:val="32"/>
                                  <w:szCs w:val="32"/>
                                </w:rPr>
                              </w:pPr>
                              <w:r>
                                <w:rPr>
                                  <w:color w:val="FFFFFF" w:themeColor="background1"/>
                                  <w:sz w:val="32"/>
                                  <w:szCs w:val="32"/>
                                </w:rPr>
                                <w:t>Important Dates</w:t>
                              </w:r>
                            </w:p>
                          </w:txbxContent>
                        </wps:txbx>
                        <wps:bodyPr rot="0" vert="horz" wrap="square" anchor="t" anchorCtr="0"/>
                      </wps:wsp>
                    </wpg:wgp>
                  </a:graphicData>
                </a:graphic>
              </wp:anchor>
            </w:drawing>
          </mc:Choice>
          <mc:Fallback>
            <w:pict>
              <v:group id="Group 42" o:spid="_x0000_s1025" style="width:262.35pt;height:28.9pt;margin-top:465.45pt;margin-left:348pt;mso-position-vertical-relative:page;position:absolute;z-index:251670528"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6" type="#_x0000_t75" style="width:33242;height:3670;left:38;mso-wrap-style:square;position:absolute;visibility:visible">
                  <v:imagedata r:id="rId9" o:title=""/>
                </v:shape>
                <v:shapetype id="_x0000_t202" coordsize="21600,21600" o:spt="202" path="m,l,21600r21600,l21600,xe">
                  <v:stroke joinstyle="miter"/>
                  <v:path gradientshapeok="t" o:connecttype="rect"/>
                </v:shapetype>
                <v:shape id="Text Box 41" o:spid="_x0000_s1027" type="#_x0000_t202" style="width:24130;height:3296;left:1232;mso-wrap-style:square;position:absolute;top:205;visibility:visible;v-text-anchor:top" filled="f" stroked="f">
                  <v:textbox>
                    <w:txbxContent>
                      <w:p w:rsidR="00E375D9" w:rsidRPr="00A8186B" w:rsidP="00E375D9">
                        <w:pPr>
                          <w:pStyle w:val="SubHeader"/>
                          <w:rPr>
                            <w:color w:val="FFFFFF" w:themeColor="background1"/>
                            <w:sz w:val="32"/>
                            <w:szCs w:val="32"/>
                          </w:rPr>
                        </w:pPr>
                        <w:r>
                          <w:rPr>
                            <w:color w:val="FFFFFF" w:themeColor="background1"/>
                            <w:sz w:val="32"/>
                            <w:szCs w:val="32"/>
                          </w:rPr>
                          <w:t>Important Dates</w:t>
                        </w:r>
                      </w:p>
                    </w:txbxContent>
                  </v:textbox>
                </v:shape>
              </v:group>
            </w:pict>
          </mc:Fallback>
        </mc:AlternateContent>
      </w:r>
      <w:r w:rsidR="0019007E">
        <w:rPr>
          <w:noProof/>
        </w:rPr>
        <mc:AlternateContent>
          <mc:Choice Requires="wpg">
            <w:drawing>
              <wp:anchor distT="0" distB="0" distL="114300" distR="114300" simplePos="0" relativeHeight="251667456" behindDoc="0" locked="0" layoutInCell="1" allowOverlap="1" wp14:anchorId="0ADE37AD" wp14:editId="0A0A97A8">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wpg:cNvGrpSpPr/>
                      <wpg:grpSpPr>
                        <a:xfrm>
                          <a:off x="0" y="0"/>
                          <a:ext cx="3324242" cy="367029"/>
                          <a:chOff x="3801" y="0"/>
                          <a:chExt cx="3324242" cy="367029"/>
                        </a:xfrm>
                      </wpg:grpSpPr>
                      <pic:pic xmlns:pic="http://schemas.openxmlformats.org/drawingml/2006/picture">
                        <pic:nvPicPr>
                          <pic:cNvPr id="37" name="Picture 3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887099195"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14:paraId="5DBDBF2E" w14:textId="77777777" w:rsidR="00E375D9" w:rsidRPr="00A8186B" w:rsidRDefault="00A35ED0" w:rsidP="00E375D9">
                              <w:pPr>
                                <w:pStyle w:val="SubHeader"/>
                                <w:rPr>
                                  <w:color w:val="FFFFFF" w:themeColor="background1"/>
                                  <w:sz w:val="32"/>
                                  <w:szCs w:val="32"/>
                                </w:rPr>
                              </w:pPr>
                              <w:r>
                                <w:rPr>
                                  <w:color w:val="FFFFFF" w:themeColor="background1"/>
                                  <w:sz w:val="32"/>
                                  <w:szCs w:val="32"/>
                                </w:rPr>
                                <w:t>Highlights</w:t>
                              </w:r>
                            </w:p>
                          </w:txbxContent>
                        </wps:txbx>
                        <wps:bodyPr rot="0" vert="horz" wrap="square" anchor="t" anchorCtr="0"/>
                      </wps:wsp>
                    </wpg:wgp>
                  </a:graphicData>
                </a:graphic>
              </wp:anchor>
            </w:drawing>
          </mc:Choice>
          <mc:Fallback>
            <w:pict>
              <v:group id="Group 39" o:spid="_x0000_s1028" style="width:262.35pt;height:28.9pt;margin-top:197.35pt;margin-left:348.25pt;mso-position-vertical-relative:page;position:absolute;z-index:251668480" coordorigin="38,0" coordsize="33242,3670">
                <v:shape id="Picture 37" o:spid="_x0000_s1029" type="#_x0000_t75" style="width:33242;height:3670;left:38;mso-wrap-style:square;position:absolute;visibility:visible">
                  <v:imagedata r:id="rId9" o:title=""/>
                </v:shape>
                <v:shape id="_x0000_s1030" type="#_x0000_t202" style="width:24130;height:3296;left:1232;mso-wrap-style:square;position:absolute;top:205;visibility:visible;v-text-anchor:top" filled="f" stroked="f">
                  <v:textbox>
                    <w:txbxContent>
                      <w:p w:rsidR="00E375D9" w:rsidRPr="00A8186B" w:rsidP="00E375D9">
                        <w:pPr>
                          <w:pStyle w:val="SubHeader"/>
                          <w:rPr>
                            <w:color w:val="FFFFFF" w:themeColor="background1"/>
                            <w:sz w:val="32"/>
                            <w:szCs w:val="32"/>
                          </w:rPr>
                        </w:pPr>
                        <w:r>
                          <w:rPr>
                            <w:color w:val="FFFFFF" w:themeColor="background1"/>
                            <w:sz w:val="32"/>
                            <w:szCs w:val="32"/>
                          </w:rPr>
                          <w:t>Highlights</w:t>
                        </w:r>
                      </w:p>
                    </w:txbxContent>
                  </v:textbox>
                </v:shape>
              </v:group>
            </w:pict>
          </mc:Fallback>
        </mc:AlternateContent>
      </w:r>
      <w:r w:rsidR="0024208C">
        <w:rPr>
          <w:noProof/>
        </w:rPr>
        <mc:AlternateContent>
          <mc:Choice Requires="wps">
            <w:drawing>
              <wp:anchor distT="45720" distB="45720" distL="114300" distR="114300" simplePos="0" relativeHeight="251659264" behindDoc="0" locked="0" layoutInCell="1" allowOverlap="1" wp14:anchorId="5368B729" wp14:editId="73478366">
                <wp:simplePos x="0" y="0"/>
                <wp:positionH relativeFrom="column">
                  <wp:posOffset>4561367</wp:posOffset>
                </wp:positionH>
                <wp:positionV relativeFrom="page">
                  <wp:posOffset>2870791</wp:posOffset>
                </wp:positionV>
                <wp:extent cx="2413000" cy="3051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051175"/>
                        </a:xfrm>
                        <a:prstGeom prst="rect">
                          <a:avLst/>
                        </a:prstGeom>
                        <a:noFill/>
                        <a:ln w="9525">
                          <a:noFill/>
                          <a:miter lim="800000"/>
                          <a:headEnd/>
                          <a:tailEnd/>
                        </a:ln>
                      </wps:spPr>
                      <wps:txbx>
                        <w:txbxContent>
                          <w:p w14:paraId="136E2E25" w14:textId="77777777" w:rsidR="00A91D1B" w:rsidRDefault="00A35ED0" w:rsidP="00A91D1B">
                            <w:pPr>
                              <w:pStyle w:val="BulletListText"/>
                              <w:spacing w:after="120"/>
                              <w:ind w:left="360" w:hanging="274"/>
                              <w:contextualSpacing w:val="0"/>
                            </w:pPr>
                            <w:r>
                              <w:t>The FFCRA’s employee leave provisions apply to private employers with fewer than 500 employees, and some public employers.</w:t>
                            </w:r>
                          </w:p>
                          <w:p w14:paraId="04ECF30C" w14:textId="77777777" w:rsidR="00A91D1B" w:rsidRDefault="00A35ED0" w:rsidP="00A91D1B">
                            <w:pPr>
                              <w:pStyle w:val="BulletListText"/>
                              <w:spacing w:after="120"/>
                              <w:ind w:left="360" w:hanging="274"/>
                              <w:contextualSpacing w:val="0"/>
                            </w:pPr>
                            <w:r>
                              <w:t xml:space="preserve">Small businesses with fewer than 50 employees may be exempt from some of the paid leave requirements. </w:t>
                            </w:r>
                          </w:p>
                          <w:p w14:paraId="1134D047" w14:textId="77777777" w:rsidR="00110963" w:rsidRDefault="00A35ED0" w:rsidP="00A91D1B">
                            <w:pPr>
                              <w:pStyle w:val="BulletListText"/>
                              <w:tabs>
                                <w:tab w:val="left" w:pos="1440"/>
                              </w:tabs>
                              <w:spacing w:after="120"/>
                              <w:ind w:left="360" w:hanging="274"/>
                              <w:contextualSpacing w:val="0"/>
                            </w:pPr>
                            <w:r>
                              <w:t xml:space="preserve">Employees who are health care providers or emergency responders may be excluded from the FFCRA’s paid sick leave and expanded family and medical leave.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190pt;height:240.25pt;margin-top:226.05pt;margin-left:359.15pt;mso-height-percent:0;mso-height-relative:margin;mso-position-vertical-relative:page;mso-width-percent:0;mso-width-relative:margin;mso-wrap-distance-bottom:3.6pt;mso-wrap-distance-left:9pt;mso-wrap-distance-right:9pt;mso-wrap-distance-top:3.6pt;mso-wrap-style:square;position:absolute;visibility:visible;v-text-anchor:top;z-index:251660288" filled="f" stroked="f">
                <v:textbox>
                  <w:txbxContent>
                    <w:p w:rsidR="00A91D1B" w:rsidP="00A91D1B">
                      <w:pPr>
                        <w:pStyle w:val="BulletListText"/>
                        <w:spacing w:after="120"/>
                        <w:ind w:left="360" w:hanging="274"/>
                        <w:contextualSpacing w:val="0"/>
                      </w:pPr>
                      <w:r>
                        <w:t>The FFCRA’s employee leave provisions apply to private employers with fewer than 500 employees, and some public employers.</w:t>
                      </w:r>
                    </w:p>
                    <w:p w:rsidR="00A91D1B" w:rsidP="00A91D1B">
                      <w:pPr>
                        <w:pStyle w:val="BulletListText"/>
                        <w:spacing w:after="120"/>
                        <w:ind w:left="360" w:hanging="274"/>
                        <w:contextualSpacing w:val="0"/>
                      </w:pPr>
                      <w:r>
                        <w:t xml:space="preserve">Small businesses with fewer than 50 employees may be exempt from some of the paid leave requirements. </w:t>
                      </w:r>
                    </w:p>
                    <w:p w:rsidR="00110963" w:rsidP="00A91D1B">
                      <w:pPr>
                        <w:pStyle w:val="BulletListText"/>
                        <w:tabs>
                          <w:tab w:val="left" w:pos="1440"/>
                        </w:tabs>
                        <w:spacing w:after="120"/>
                        <w:ind w:left="360" w:hanging="274"/>
                        <w:contextualSpacing w:val="0"/>
                      </w:pPr>
                      <w:r>
                        <w:t xml:space="preserve">Employees who are health care providers or emergency responders may be excluded from the FFCRA’s paid sick leave and expanded family and medical leave. </w:t>
                      </w:r>
                    </w:p>
                  </w:txbxContent>
                </v:textbox>
                <w10:wrap type="square"/>
              </v:shape>
            </w:pict>
          </mc:Fallback>
        </mc:AlternateContent>
      </w:r>
      <w:r w:rsidR="0098636D" w:rsidRPr="008A7E71">
        <w:t>T</w:t>
      </w:r>
      <w:r w:rsidR="00001954">
        <w:t xml:space="preserve">he U.S. Department of Labor </w:t>
      </w:r>
      <w:r w:rsidR="00837F1A">
        <w:t xml:space="preserve">(DOL) </w:t>
      </w:r>
      <w:r w:rsidR="00001954">
        <w:t xml:space="preserve">has issued </w:t>
      </w:r>
      <w:hyperlink r:id="rId10" w:history="1">
        <w:r w:rsidR="00001954" w:rsidRPr="00521136">
          <w:rPr>
            <w:rStyle w:val="Hyperlink"/>
          </w:rPr>
          <w:t>frequently asked questions</w:t>
        </w:r>
      </w:hyperlink>
      <w:r w:rsidR="00001954">
        <w:t xml:space="preserve"> (FAQs) that address exemptions to the paid leave requirements under the Families First Coronavirus Response Act (FFCRA). The </w:t>
      </w:r>
      <w:r w:rsidR="00521136" w:rsidRPr="00521136">
        <w:t xml:space="preserve">FFCRA requires </w:t>
      </w:r>
      <w:r w:rsidR="00521136">
        <w:t>covered</w:t>
      </w:r>
      <w:r w:rsidR="00521136" w:rsidRPr="00521136">
        <w:t xml:space="preserve"> employers to provide their employees with paid sick leave or expanded family and medical leave for specified reasons related to COVID-19. </w:t>
      </w:r>
    </w:p>
    <w:p w14:paraId="1AA3C53A" w14:textId="77777777" w:rsidR="00C76D3F" w:rsidRDefault="00A35ED0" w:rsidP="005517E2">
      <w:pPr>
        <w:pStyle w:val="BodyText"/>
      </w:pPr>
      <w:r>
        <w:t>The FFCRA includes an exemption for small businesses and an exemption for cert</w:t>
      </w:r>
      <w:r>
        <w:t xml:space="preserve">ain types of employees. </w:t>
      </w:r>
    </w:p>
    <w:p w14:paraId="17D2146B" w14:textId="77777777" w:rsidR="005A1F47" w:rsidRDefault="00A35ED0" w:rsidP="00C76D3F">
      <w:pPr>
        <w:pStyle w:val="Checkbox"/>
      </w:pPr>
      <w:r w:rsidRPr="00C76D3F">
        <w:t>Small businesses with</w:t>
      </w:r>
      <w:r w:rsidRPr="00521136">
        <w:t xml:space="preserve"> </w:t>
      </w:r>
      <w:r w:rsidRPr="005517E2">
        <w:rPr>
          <w:b/>
        </w:rPr>
        <w:t>fewer than 50 employees</w:t>
      </w:r>
      <w:r w:rsidRPr="00521136">
        <w:t xml:space="preserve"> </w:t>
      </w:r>
      <w:r w:rsidRPr="00C76D3F">
        <w:t xml:space="preserve">may qualify for </w:t>
      </w:r>
      <w:r w:rsidR="00E76B2C">
        <w:t xml:space="preserve">an </w:t>
      </w:r>
      <w:r w:rsidRPr="00C76D3F">
        <w:t>exemption from the requirement to provide leav</w:t>
      </w:r>
      <w:r w:rsidRPr="00521136">
        <w:t xml:space="preserve">e due to school closings or child care unavailability if the leave requirements would jeopardize the viability of the </w:t>
      </w:r>
      <w:r w:rsidRPr="00521136">
        <w:t>business as a going concern.</w:t>
      </w:r>
    </w:p>
    <w:p w14:paraId="7166183F" w14:textId="77777777" w:rsidR="005517E2" w:rsidRDefault="00A35ED0" w:rsidP="00C76D3F">
      <w:pPr>
        <w:pStyle w:val="Checkbox"/>
      </w:pPr>
      <w:r>
        <w:t xml:space="preserve">Employers of </w:t>
      </w:r>
      <w:r w:rsidRPr="00C76D3F">
        <w:rPr>
          <w:b/>
        </w:rPr>
        <w:t>health care providers or emergency responders</w:t>
      </w:r>
      <w:r>
        <w:t xml:space="preserve"> are not required to provide these types of employees with paid sick leave or expanded family and medical leave under the FFCRA. </w:t>
      </w:r>
    </w:p>
    <w:p w14:paraId="74BD1EBF" w14:textId="77777777" w:rsidR="00C76D3F" w:rsidRDefault="00A35ED0" w:rsidP="00314E2F">
      <w:pPr>
        <w:pStyle w:val="BodyText"/>
        <w:ind w:right="274"/>
      </w:pPr>
      <w:r>
        <w:rPr>
          <w:noProof/>
        </w:rPr>
        <mc:AlternateContent>
          <mc:Choice Requires="wps">
            <w:drawing>
              <wp:anchor distT="45720" distB="45720" distL="114300" distR="114300" simplePos="0" relativeHeight="251661312" behindDoc="0" locked="0" layoutInCell="1" allowOverlap="1" wp14:anchorId="1988C24A" wp14:editId="2E924974">
                <wp:simplePos x="0" y="0"/>
                <wp:positionH relativeFrom="column">
                  <wp:posOffset>4562475</wp:posOffset>
                </wp:positionH>
                <wp:positionV relativeFrom="page">
                  <wp:posOffset>6305550</wp:posOffset>
                </wp:positionV>
                <wp:extent cx="2413000" cy="263842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638425"/>
                        </a:xfrm>
                        <a:prstGeom prst="rect">
                          <a:avLst/>
                        </a:prstGeom>
                        <a:noFill/>
                        <a:ln w="9525">
                          <a:noFill/>
                          <a:miter lim="800000"/>
                          <a:headEnd/>
                          <a:tailEnd/>
                        </a:ln>
                      </wps:spPr>
                      <wps:txbx>
                        <w:txbxContent>
                          <w:p w14:paraId="1D62C720" w14:textId="77777777" w:rsidR="00F31BB9" w:rsidRDefault="00A35ED0" w:rsidP="00F31BB9">
                            <w:pPr>
                              <w:pStyle w:val="SubHeader"/>
                            </w:pPr>
                            <w:r>
                              <w:t>April 1, 2020</w:t>
                            </w:r>
                          </w:p>
                          <w:p w14:paraId="717DC753" w14:textId="77777777" w:rsidR="00F31BB9" w:rsidRDefault="00A35ED0" w:rsidP="00F31BB9">
                            <w:pPr>
                              <w:pStyle w:val="BodyText"/>
                            </w:pPr>
                            <w:r>
                              <w:t>The FFCRA’s new</w:t>
                            </w:r>
                            <w:r w:rsidRPr="00612FEE">
                              <w:t xml:space="preserve"> paid leave provisions </w:t>
                            </w:r>
                            <w:r>
                              <w:t>take</w:t>
                            </w:r>
                            <w:r w:rsidRPr="00612FEE">
                              <w:t xml:space="preserve"> effect</w:t>
                            </w:r>
                            <w:r>
                              <w:t xml:space="preserve">. </w:t>
                            </w:r>
                          </w:p>
                          <w:p w14:paraId="0154BDE8" w14:textId="77777777" w:rsidR="00F31BB9" w:rsidRDefault="00A35ED0" w:rsidP="00F31BB9">
                            <w:pPr>
                              <w:pStyle w:val="SubHeader"/>
                            </w:pPr>
                            <w:r>
                              <w:t>April 17, 2020</w:t>
                            </w:r>
                          </w:p>
                          <w:p w14:paraId="2B061F69" w14:textId="77777777" w:rsidR="00F31BB9" w:rsidRDefault="00A35ED0" w:rsidP="00F31BB9">
                            <w:pPr>
                              <w:pStyle w:val="BodyText"/>
                            </w:pPr>
                            <w:r>
                              <w:t xml:space="preserve">A temporary nonenforcement policy applies until </w:t>
                            </w:r>
                            <w:r w:rsidRPr="00F31BB9">
                              <w:t>April 17, 2020</w:t>
                            </w:r>
                            <w:r>
                              <w:t xml:space="preserve"> for employers that make reasonable, good faith efforts to comply with the law. </w:t>
                            </w:r>
                          </w:p>
                          <w:p w14:paraId="24EFC67B" w14:textId="77777777" w:rsidR="00F31BB9" w:rsidRDefault="00A35ED0" w:rsidP="00F31BB9">
                            <w:pPr>
                              <w:pStyle w:val="SubHeader"/>
                            </w:pPr>
                            <w:r>
                              <w:t xml:space="preserve">Dec. 31, </w:t>
                            </w:r>
                            <w:r w:rsidRPr="00D2167C">
                              <w:t>20</w:t>
                            </w:r>
                            <w:r>
                              <w:t>20</w:t>
                            </w:r>
                          </w:p>
                          <w:p w14:paraId="1D9E18AB" w14:textId="77777777" w:rsidR="00F31BB9" w:rsidRPr="00D2167C" w:rsidRDefault="00A35ED0" w:rsidP="00F31BB9">
                            <w:pPr>
                              <w:pStyle w:val="BodyText"/>
                            </w:pPr>
                            <w:r>
                              <w:t>New leave laws sunset.</w:t>
                            </w:r>
                          </w:p>
                          <w:p w14:paraId="552507E3" w14:textId="77777777" w:rsidR="00441851" w:rsidRDefault="00441851" w:rsidP="00844896">
                            <w:pPr>
                              <w:pStyle w:val="BodyText"/>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90pt;height:207.75pt;margin-top:496.5pt;margin-left:359.25pt;mso-height-percent:0;mso-height-relative:margin;mso-position-vertical-relative:page;mso-width-percent:0;mso-width-relative:margin;mso-wrap-distance-bottom:3.6pt;mso-wrap-distance-left:9pt;mso-wrap-distance-right:9pt;mso-wrap-distance-top:3.6pt;mso-wrap-style:square;position:absolute;visibility:visible;v-text-anchor:top;z-index:251662336" filled="f" stroked="f">
                <v:textbox>
                  <w:txbxContent>
                    <w:p w:rsidR="00F31BB9" w:rsidP="00F31BB9">
                      <w:pPr>
                        <w:pStyle w:val="SubHeader"/>
                      </w:pPr>
                      <w:r>
                        <w:t>April 1, 2020</w:t>
                      </w:r>
                    </w:p>
                    <w:p w:rsidR="00F31BB9" w:rsidP="00F31BB9">
                      <w:pPr>
                        <w:pStyle w:val="BodyText"/>
                      </w:pPr>
                      <w:r>
                        <w:t>T</w:t>
                      </w:r>
                      <w:r>
                        <w:t xml:space="preserve">he </w:t>
                      </w:r>
                      <w:r>
                        <w:t xml:space="preserve">FFCRA’s </w:t>
                      </w:r>
                      <w:r>
                        <w:t>new</w:t>
                      </w:r>
                      <w:r w:rsidRPr="00612FEE">
                        <w:t xml:space="preserve"> paid leave provisions </w:t>
                      </w:r>
                      <w:r>
                        <w:t>take</w:t>
                      </w:r>
                      <w:r w:rsidRPr="00612FEE">
                        <w:t xml:space="preserve"> effect</w:t>
                      </w:r>
                      <w:r>
                        <w:t xml:space="preserve">. </w:t>
                      </w:r>
                    </w:p>
                    <w:p w:rsidR="00F31BB9" w:rsidP="00F31BB9">
                      <w:pPr>
                        <w:pStyle w:val="SubHeader"/>
                      </w:pPr>
                      <w:r>
                        <w:t>April 17, 2020</w:t>
                      </w:r>
                    </w:p>
                    <w:p w:rsidR="00F31BB9" w:rsidP="00F31BB9">
                      <w:pPr>
                        <w:pStyle w:val="BodyText"/>
                      </w:pPr>
                      <w:r>
                        <w:t xml:space="preserve">A temporary nonenforcement policy applies until </w:t>
                      </w:r>
                      <w:r w:rsidRPr="00F31BB9">
                        <w:t>April 17, 2020</w:t>
                      </w:r>
                      <w:r>
                        <w:t xml:space="preserve"> for employers that make reasonable, good faith efforts to comply with the law. </w:t>
                      </w:r>
                    </w:p>
                    <w:p w:rsidR="00F31BB9" w:rsidP="00F31BB9">
                      <w:pPr>
                        <w:pStyle w:val="SubHeader"/>
                      </w:pPr>
                      <w:r>
                        <w:t xml:space="preserve">Dec. 31, </w:t>
                      </w:r>
                      <w:r w:rsidRPr="00D2167C">
                        <w:t>20</w:t>
                      </w:r>
                      <w:r>
                        <w:t>20</w:t>
                      </w:r>
                    </w:p>
                    <w:p w:rsidR="00F31BB9" w:rsidRPr="00D2167C" w:rsidP="00F31BB9">
                      <w:pPr>
                        <w:pStyle w:val="BodyText"/>
                      </w:pPr>
                      <w:r>
                        <w:t>New leave laws sunset.</w:t>
                      </w:r>
                    </w:p>
                    <w:p w:rsidR="00441851" w:rsidP="00844896">
                      <w:pPr>
                        <w:pStyle w:val="BodyText"/>
                      </w:pPr>
                    </w:p>
                  </w:txbxContent>
                </v:textbox>
                <w10:wrap type="square"/>
              </v:shape>
            </w:pict>
          </mc:Fallback>
        </mc:AlternateContent>
      </w:r>
      <w:r w:rsidR="00C76D3F">
        <w:t>The DOL’s FAQs on these exemptions address:</w:t>
      </w:r>
    </w:p>
    <w:p w14:paraId="16517AF4" w14:textId="77777777" w:rsidR="00C76D3F" w:rsidRDefault="00A35ED0" w:rsidP="00C76D3F">
      <w:pPr>
        <w:pStyle w:val="BulletListText"/>
      </w:pPr>
      <w:r>
        <w:t>When the small business exemption appl</w:t>
      </w:r>
      <w:r w:rsidR="0067494A">
        <w:t>ies.</w:t>
      </w:r>
      <w:r>
        <w:t xml:space="preserve"> </w:t>
      </w:r>
    </w:p>
    <w:p w14:paraId="4EE695F7" w14:textId="77777777" w:rsidR="005A1F47" w:rsidRDefault="00A35ED0" w:rsidP="00C76D3F">
      <w:pPr>
        <w:pStyle w:val="BulletListText"/>
        <w:spacing w:after="0"/>
      </w:pPr>
      <w:r>
        <w:t xml:space="preserve">Who </w:t>
      </w:r>
      <w:r w:rsidR="0067494A">
        <w:t>constitutes</w:t>
      </w:r>
      <w:r>
        <w:t xml:space="preserve"> a “health care provider” or “emergency responder” </w:t>
      </w:r>
      <w:r w:rsidR="0067494A">
        <w:t>who</w:t>
      </w:r>
      <w:r>
        <w:t xml:space="preserve"> may be excluded from paid sick leave and/or expanded family and medical leave</w:t>
      </w:r>
      <w:r w:rsidR="0067494A">
        <w:t>.</w:t>
      </w:r>
    </w:p>
    <w:p w14:paraId="7F140ED3" w14:textId="77777777" w:rsidR="00F31BB9" w:rsidRDefault="00A35ED0" w:rsidP="00F31BB9">
      <w:pPr>
        <w:pStyle w:val="BodyText"/>
        <w:spacing w:before="160" w:after="0"/>
      </w:pPr>
      <w:r>
        <w:t>This Compliance Bulletin includes the DOL’</w:t>
      </w:r>
      <w:r>
        <w:t>s FAQs on the FFCRA’s exemptions.</w:t>
      </w:r>
    </w:p>
    <w:p w14:paraId="3F89BCA6" w14:textId="77777777" w:rsidR="005A1F47" w:rsidRDefault="00A35ED0" w:rsidP="00C76D3F">
      <w:pPr>
        <w:pStyle w:val="BodyText"/>
        <w:spacing w:after="0"/>
        <w:ind w:right="274"/>
      </w:pPr>
      <w:r>
        <w:rPr>
          <w:noProof/>
        </w:rPr>
        <mc:AlternateContent>
          <mc:Choice Requires="wpg">
            <w:drawing>
              <wp:anchor distT="0" distB="0" distL="114300" distR="114300" simplePos="0" relativeHeight="251665408" behindDoc="0" locked="0" layoutInCell="1" allowOverlap="1" wp14:anchorId="3D18C64D" wp14:editId="7A7C45AC">
                <wp:simplePos x="0" y="0"/>
                <wp:positionH relativeFrom="column">
                  <wp:posOffset>-448945</wp:posOffset>
                </wp:positionH>
                <wp:positionV relativeFrom="paragraph">
                  <wp:posOffset>125857</wp:posOffset>
                </wp:positionV>
                <wp:extent cx="3331845" cy="367030"/>
                <wp:effectExtent l="0" t="0" r="1905" b="0"/>
                <wp:wrapNone/>
                <wp:docPr id="36" name="Group 36"/>
                <wp:cNvGraphicFramePr/>
                <a:graphic xmlns:a="http://schemas.openxmlformats.org/drawingml/2006/main">
                  <a:graphicData uri="http://schemas.microsoft.com/office/word/2010/wordprocessingGroup">
                    <wpg:wgp>
                      <wpg:cNvGrpSpPr/>
                      <wpg:grpSpPr>
                        <a:xfrm>
                          <a:off x="0" y="0"/>
                          <a:ext cx="3324242" cy="367029"/>
                          <a:chOff x="15231" y="-19522"/>
                          <a:chExt cx="3324411" cy="367501"/>
                        </a:xfrm>
                      </wpg:grpSpPr>
                      <pic:pic xmlns:pic="http://schemas.openxmlformats.org/drawingml/2006/picture">
                        <pic:nvPicPr>
                          <pic:cNvPr id="33" name="Picture 3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5231" y="-19522"/>
                            <a:ext cx="3324411" cy="367501"/>
                          </a:xfrm>
                          <a:prstGeom prst="rect">
                            <a:avLst/>
                          </a:prstGeom>
                        </pic:spPr>
                      </pic:pic>
                      <wps:wsp>
                        <wps:cNvPr id="35" name="Text Box 35"/>
                        <wps:cNvSpPr txBox="1">
                          <a:spLocks noChangeArrowheads="1"/>
                        </wps:cNvSpPr>
                        <wps:spPr bwMode="auto">
                          <a:xfrm>
                            <a:off x="377190" y="0"/>
                            <a:ext cx="2413000" cy="329565"/>
                          </a:xfrm>
                          <a:prstGeom prst="rect">
                            <a:avLst/>
                          </a:prstGeom>
                          <a:noFill/>
                          <a:ln w="9525">
                            <a:noFill/>
                            <a:miter lim="800000"/>
                            <a:headEnd/>
                            <a:tailEnd/>
                          </a:ln>
                        </wps:spPr>
                        <wps:txbx>
                          <w:txbxContent>
                            <w:p w14:paraId="5B042373" w14:textId="77777777" w:rsidR="008B3699" w:rsidRPr="00A8186B" w:rsidRDefault="00A35ED0" w:rsidP="008B3699">
                              <w:pPr>
                                <w:pStyle w:val="SubHeader"/>
                                <w:rPr>
                                  <w:color w:val="FFFFFF" w:themeColor="background1"/>
                                  <w:sz w:val="32"/>
                                  <w:szCs w:val="32"/>
                                </w:rPr>
                              </w:pPr>
                              <w:r>
                                <w:rPr>
                                  <w:color w:val="FFFFFF" w:themeColor="background1"/>
                                  <w:sz w:val="32"/>
                                  <w:szCs w:val="32"/>
                                </w:rPr>
                                <w:t>Action Steps</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oup 36" o:spid="_x0000_s1033" style="width:262.35pt;height:28.9pt;margin-top:9.9pt;margin-left:-35.35pt;mso-height-relative:margin;mso-width-relative:margin;position:absolute;z-index:251666432" coordorigin="152,-195" coordsize="33244,3675">
                <v:shape id="Picture 33" o:spid="_x0000_s1034" type="#_x0000_t75" style="width:33244;height:3674;left:152;mso-wrap-style:square;position:absolute;top:-195;visibility:visible">
                  <v:imagedata r:id="rId9" o:title=""/>
                </v:shape>
                <v:shape id="Text Box 35" o:spid="_x0000_s1035" type="#_x0000_t202" style="width:24130;height:3295;left:3771;mso-wrap-style:square;position:absolute;visibility:visible;v-text-anchor:top" filled="f" stroked="f">
                  <v:textbox>
                    <w:txbxContent>
                      <w:p w:rsidR="008B3699" w:rsidRPr="00A8186B" w:rsidP="008B3699">
                        <w:pPr>
                          <w:pStyle w:val="SubHeader"/>
                          <w:rPr>
                            <w:color w:val="FFFFFF" w:themeColor="background1"/>
                            <w:sz w:val="32"/>
                            <w:szCs w:val="32"/>
                          </w:rPr>
                        </w:pPr>
                        <w:r>
                          <w:rPr>
                            <w:color w:val="FFFFFF" w:themeColor="background1"/>
                            <w:sz w:val="32"/>
                            <w:szCs w:val="32"/>
                          </w:rPr>
                          <w:t>Action Steps</w:t>
                        </w:r>
                      </w:p>
                    </w:txbxContent>
                  </v:textbox>
                </v:shape>
              </v:group>
            </w:pict>
          </mc:Fallback>
        </mc:AlternateContent>
      </w:r>
    </w:p>
    <w:p w14:paraId="2216F9DC" w14:textId="77777777" w:rsidR="001B200A" w:rsidRDefault="001B200A" w:rsidP="00150559">
      <w:pPr>
        <w:pStyle w:val="Xbox"/>
        <w:numPr>
          <w:ilvl w:val="0"/>
          <w:numId w:val="0"/>
        </w:numPr>
        <w:ind w:right="270"/>
      </w:pPr>
    </w:p>
    <w:p w14:paraId="667C2052" w14:textId="77777777" w:rsidR="00D046CF" w:rsidRDefault="00D046CF" w:rsidP="00E52110">
      <w:pPr>
        <w:pStyle w:val="Xbox"/>
        <w:numPr>
          <w:ilvl w:val="0"/>
          <w:numId w:val="0"/>
        </w:numPr>
        <w:ind w:left="540" w:right="270"/>
      </w:pPr>
    </w:p>
    <w:p w14:paraId="42F0DADB" w14:textId="77777777" w:rsidR="00A357CD" w:rsidRPr="00C84C66" w:rsidRDefault="00A35ED0" w:rsidP="00D046CF">
      <w:pPr>
        <w:pStyle w:val="BodyText"/>
        <w:ind w:right="270"/>
        <w:rPr>
          <w:b/>
          <w:color w:val="FFFFFF" w:themeColor="background1"/>
        </w:rPr>
        <w:sectPr w:rsidR="00A357CD" w:rsidRPr="00C84C66" w:rsidSect="008A7E71">
          <w:headerReference w:type="default" r:id="rId11"/>
          <w:footerReference w:type="default" r:id="rId12"/>
          <w:pgSz w:w="12240" w:h="15840"/>
          <w:pgMar w:top="3946" w:right="4680" w:bottom="1440" w:left="720" w:header="720" w:footer="720" w:gutter="0"/>
          <w:cols w:space="720"/>
          <w:docGrid w:linePitch="360"/>
        </w:sectPr>
      </w:pPr>
      <w:r>
        <w:rPr>
          <w:noProof/>
        </w:rPr>
        <mc:AlternateContent>
          <mc:Choice Requires="wps">
            <w:drawing>
              <wp:anchor distT="0" distB="0" distL="114300" distR="114300" simplePos="0" relativeHeight="251664384" behindDoc="0" locked="0" layoutInCell="1" allowOverlap="1" wp14:anchorId="0C89BF30" wp14:editId="1B7856E7">
                <wp:simplePos x="0" y="0"/>
                <wp:positionH relativeFrom="margin">
                  <wp:posOffset>-85725</wp:posOffset>
                </wp:positionH>
                <wp:positionV relativeFrom="bottomMargin">
                  <wp:align>top</wp:align>
                </wp:positionV>
                <wp:extent cx="4344670" cy="3200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4344670" cy="320040"/>
                        </a:xfrm>
                        <a:prstGeom prst="rect">
                          <a:avLst/>
                        </a:prstGeom>
                        <a:noFill/>
                        <a:ln w="6350">
                          <a:noFill/>
                        </a:ln>
                        <a:effectLst/>
                      </wps:spPr>
                      <wps:txbx>
                        <w:txbxContent>
                          <w:p w14:paraId="11E6E5CB" w14:textId="77777777" w:rsidR="00E6115F" w:rsidRPr="00C10371" w:rsidRDefault="00A35ED0" w:rsidP="00E6115F">
                            <w:pPr>
                              <w:pStyle w:val="Header"/>
                              <w:rPr>
                                <w:color w:val="6F61B0"/>
                                <w:sz w:val="20"/>
                                <w:szCs w:val="20"/>
                              </w:rPr>
                            </w:pPr>
                            <w:r w:rsidRPr="00A9581B">
                              <w:rPr>
                                <w:color w:val="595959" w:themeColor="text1" w:themeTint="A6"/>
                                <w:sz w:val="20"/>
                                <w:szCs w:val="20"/>
                              </w:rPr>
                              <w:t xml:space="preserve">Provided to you by </w:t>
                            </w:r>
                            <w:r w:rsidRPr="00C10371">
                              <w:rPr>
                                <w:b/>
                                <w:color w:val="6F61B0"/>
                                <w:sz w:val="20"/>
                                <w:szCs w:val="20"/>
                              </w:rPr>
                              <w:t>Lawley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width:342.1pt;height:25.2pt;margin-top:0;margin-left:-6.75pt;mso-height-percent:0;mso-height-relative:margin;mso-position-horizontal-relative:margin;mso-position-vertical:top;mso-position-vertical-relative:bottom-margin-area;mso-width-percent:0;mso-width-relative:margin;mso-wrap-distance-bottom:0;mso-wrap-distance-left:9pt;mso-wrap-distance-right:9pt;mso-wrap-distance-top:0;position:absolute;v-text-anchor:top;z-index:251663360" filled="f" fillcolor="this" stroked="f" strokeweight="0.5pt">
                <v:textbox>
                  <w:txbxContent>
                    <w:p w:rsidR="00E6115F" w:rsidRPr="00C10371" w:rsidP="00E6115F" w14:paraId="38695BC5" w14:textId="77777777">
                      <w:pPr>
                        <w:pStyle w:val="Header"/>
                        <w:rPr>
                          <w:color w:val="6F61B0"/>
                          <w:sz w:val="20"/>
                          <w:szCs w:val="20"/>
                        </w:rPr>
                      </w:pPr>
                      <w:r w:rsidRPr="00A9581B">
                        <w:rPr>
                          <w:color w:val="595959" w:themeColor="text1" w:themeTint="A6"/>
                          <w:sz w:val="20"/>
                          <w:szCs w:val="20"/>
                        </w:rPr>
                        <w:t xml:space="preserve">Provided to you by </w:t>
                      </w:r>
                      <w:r w:rsidRPr="00C10371">
                        <w:rPr>
                          <w:b/>
                          <w:color w:val="6F61B0"/>
                          <w:sz w:val="20"/>
                          <w:szCs w:val="20"/>
                        </w:rPr>
                        <w:t>Lawley</w:t>
                      </w:r>
                    </w:p>
                  </w:txbxContent>
                </v:textbox>
                <w10:wrap anchorx="margin"/>
              </v:shape>
            </w:pict>
          </mc:Fallback>
        </mc:AlternateContent>
      </w:r>
      <w:r w:rsidR="00C76D3F">
        <w:t xml:space="preserve">Employers should review the DOL’s guidance to determine </w:t>
      </w:r>
      <w:r w:rsidR="0067494A">
        <w:t xml:space="preserve">whether </w:t>
      </w:r>
      <w:r w:rsidR="00C76D3F">
        <w:t xml:space="preserve">they qualify for an exemption to the FFCRA’s paid leave requirements. Employers should also continue to monitor the DOL’s </w:t>
      </w:r>
      <w:hyperlink r:id="rId13" w:history="1">
        <w:r w:rsidR="00C76D3F" w:rsidRPr="00F31BB9">
          <w:rPr>
            <w:rStyle w:val="Hyperlink"/>
          </w:rPr>
          <w:t>COVID-19 website</w:t>
        </w:r>
      </w:hyperlink>
      <w:r w:rsidR="00C76D3F">
        <w:t xml:space="preserve"> for compliance updates. </w:t>
      </w:r>
      <w:r w:rsidR="008A7E71" w:rsidRPr="008A7E71">
        <w:t xml:space="preserve"> </w:t>
      </w:r>
      <w:r w:rsidR="008A7E71" w:rsidRPr="00C84C66">
        <w:rPr>
          <w:b/>
          <w:color w:val="FFFFFF" w:themeColor="background1"/>
        </w:rPr>
        <w:t>plans are enforced.</w:t>
      </w:r>
      <w:r w:rsidRPr="00C84C66">
        <w:rPr>
          <w:b/>
          <w:noProof/>
          <w:color w:val="FFFFFF" w:themeColor="background1"/>
        </w:rPr>
        <w:t xml:space="preserve"> </w:t>
      </w:r>
    </w:p>
    <w:p w14:paraId="2D08E112" w14:textId="77777777" w:rsidR="00F31BB9" w:rsidRPr="00F31BB9" w:rsidRDefault="00A35ED0" w:rsidP="00F31BB9">
      <w:pPr>
        <w:pStyle w:val="SubHeader"/>
        <w:rPr>
          <w:color w:val="6F61B0"/>
          <w:sz w:val="36"/>
          <w:szCs w:val="36"/>
        </w:rPr>
      </w:pPr>
      <w:r w:rsidRPr="00F31BB9">
        <w:rPr>
          <w:color w:val="6F61B0"/>
          <w:sz w:val="36"/>
          <w:szCs w:val="36"/>
        </w:rPr>
        <w:lastRenderedPageBreak/>
        <w:t>Frequently As</w:t>
      </w:r>
      <w:r w:rsidRPr="00F31BB9">
        <w:rPr>
          <w:color w:val="6F61B0"/>
          <w:sz w:val="36"/>
          <w:szCs w:val="36"/>
        </w:rPr>
        <w:t>ked Questions</w:t>
      </w:r>
    </w:p>
    <w:p w14:paraId="48AF3D64" w14:textId="77777777" w:rsidR="00F31BB9" w:rsidRPr="00A91D1B" w:rsidRDefault="00A35ED0" w:rsidP="00A91D1B">
      <w:pPr>
        <w:pStyle w:val="SubHeader"/>
        <w:spacing w:before="120"/>
      </w:pPr>
      <w:r w:rsidRPr="00A91D1B">
        <w:t>Who is a “health care provider” who may be excluded by their employer from paid sick leave or expanded family and medical leave?</w:t>
      </w:r>
    </w:p>
    <w:p w14:paraId="05D2F49B" w14:textId="77777777" w:rsidR="00F31BB9" w:rsidRDefault="00A35ED0" w:rsidP="00F31BB9">
      <w:pPr>
        <w:pStyle w:val="BodyText"/>
      </w:pPr>
      <w:r>
        <w:t>For the purposes of employees who may be exempted from paid sick leave or expanded family and medical leave by th</w:t>
      </w:r>
      <w:r>
        <w:t>eir employer under the FFCRA, a health care provider is anyone employed at any doctor’s office</w:t>
      </w:r>
      <w:r w:rsidR="003F029F">
        <w:t>;</w:t>
      </w:r>
      <w:r>
        <w:t xml:space="preserve"> hospital</w:t>
      </w:r>
      <w:r w:rsidR="003F029F">
        <w:t>;</w:t>
      </w:r>
      <w:r>
        <w:t xml:space="preserve"> health care center</w:t>
      </w:r>
      <w:r w:rsidR="003F029F">
        <w:t>;</w:t>
      </w:r>
      <w:r>
        <w:t xml:space="preserve"> clinic</w:t>
      </w:r>
      <w:r w:rsidR="003F029F">
        <w:t>;</w:t>
      </w:r>
      <w:r>
        <w:t xml:space="preserve"> post-secondary educational institution offering health care instruction</w:t>
      </w:r>
      <w:r w:rsidR="003F029F">
        <w:t>;</w:t>
      </w:r>
      <w:r>
        <w:t xml:space="preserve"> medical school</w:t>
      </w:r>
      <w:r w:rsidR="003F029F">
        <w:t>;</w:t>
      </w:r>
      <w:r>
        <w:t xml:space="preserve"> local health department or agency</w:t>
      </w:r>
      <w:r w:rsidR="003F029F">
        <w:t>;</w:t>
      </w:r>
      <w:r>
        <w:t xml:space="preserve"> nursing facility</w:t>
      </w:r>
      <w:r w:rsidR="003F029F">
        <w:t>;</w:t>
      </w:r>
      <w:r>
        <w:t xml:space="preserve"> retirement facility</w:t>
      </w:r>
      <w:r w:rsidR="003F029F">
        <w:t>;</w:t>
      </w:r>
      <w:r>
        <w:t xml:space="preserve"> nursing home</w:t>
      </w:r>
      <w:r w:rsidR="003F029F">
        <w:t>;</w:t>
      </w:r>
      <w:r>
        <w:t xml:space="preserve"> home health care provider</w:t>
      </w:r>
      <w:r w:rsidR="003F029F">
        <w:t>;</w:t>
      </w:r>
      <w:r>
        <w:t xml:space="preserve"> any facility that performs laboratory or medical testing</w:t>
      </w:r>
      <w:r w:rsidR="003F029F">
        <w:t>;</w:t>
      </w:r>
      <w:r>
        <w:t xml:space="preserve"> pharmacy</w:t>
      </w:r>
      <w:r w:rsidR="003F029F">
        <w:t>;</w:t>
      </w:r>
      <w:r>
        <w:t xml:space="preserve"> or any similar institution, employer or entity. This includes any perman</w:t>
      </w:r>
      <w:r>
        <w:t xml:space="preserve">ent or temporary institution, facility, location or site where medical services are provided that are similar to such institutions. </w:t>
      </w:r>
    </w:p>
    <w:p w14:paraId="08FE9888" w14:textId="77777777" w:rsidR="00F31BB9" w:rsidRDefault="00A35ED0" w:rsidP="00F31BB9">
      <w:pPr>
        <w:pStyle w:val="BodyText"/>
      </w:pPr>
      <w:r>
        <w:t xml:space="preserve">This definition includes any individual employed by an entity that contracts with any of the above institutions, employers </w:t>
      </w:r>
      <w:r>
        <w:t>or entities to provide services or maintain the operation of the facility. This also includes anyone employed by any entity that provides medical services</w:t>
      </w:r>
      <w:r w:rsidR="00277070">
        <w:t>;</w:t>
      </w:r>
      <w:r>
        <w:t xml:space="preserve"> produces medical products</w:t>
      </w:r>
      <w:r w:rsidR="00277070">
        <w:t>;</w:t>
      </w:r>
      <w:r>
        <w:t xml:space="preserve"> or is otherwise involved in the making of COVID-19</w:t>
      </w:r>
      <w:r w:rsidR="00277070">
        <w:t>-</w:t>
      </w:r>
      <w:r>
        <w:t>related medical equipm</w:t>
      </w:r>
      <w:r>
        <w:t xml:space="preserve">ent, tests, drugs, vaccines, diagnostic vehicles or treatments. This also includes any individual </w:t>
      </w:r>
      <w:r w:rsidR="00277070">
        <w:t>whom</w:t>
      </w:r>
      <w:r>
        <w:t xml:space="preserve"> the highest official of a state or territory, including the District of Columbia, determines is a health care provider necessary for that state’s or terr</w:t>
      </w:r>
      <w:r>
        <w:t>itory’s</w:t>
      </w:r>
      <w:r w:rsidR="00277070">
        <w:t>—or</w:t>
      </w:r>
      <w:r>
        <w:t xml:space="preserve"> the District of Columbia’s</w:t>
      </w:r>
      <w:r w:rsidR="00277070">
        <w:t>—response</w:t>
      </w:r>
      <w:r>
        <w:t xml:space="preserve"> to COVID-19.</w:t>
      </w:r>
    </w:p>
    <w:p w14:paraId="2A2E520E" w14:textId="77777777" w:rsidR="00F31BB9" w:rsidRDefault="00A35ED0" w:rsidP="00F31BB9">
      <w:pPr>
        <w:pStyle w:val="BodyText"/>
      </w:pPr>
      <w:r>
        <w:t>To minimize the spread of the virus associated with COVID-19, the D</w:t>
      </w:r>
      <w:r w:rsidR="00837F1A">
        <w:t>OL</w:t>
      </w:r>
      <w:r>
        <w:t xml:space="preserve"> encourages employers to be judicious when using this definition to exempt health care providers from the provisions of the FFC</w:t>
      </w:r>
      <w:r>
        <w:t>RA.</w:t>
      </w:r>
    </w:p>
    <w:p w14:paraId="4E0EA2D9" w14:textId="77777777" w:rsidR="00F31BB9" w:rsidRDefault="00A35ED0" w:rsidP="00A91D1B">
      <w:pPr>
        <w:pStyle w:val="SubHeader"/>
      </w:pPr>
      <w:r>
        <w:t>Who is an emergency responder?</w:t>
      </w:r>
    </w:p>
    <w:p w14:paraId="228A4EC7" w14:textId="77777777" w:rsidR="00A91D1B" w:rsidRDefault="00A35ED0" w:rsidP="00F31BB9">
      <w:pPr>
        <w:pStyle w:val="BodyText"/>
      </w:pPr>
      <w:r>
        <w:t>For the purposes of employees who may be excluded from paid sick leave or expanded family and medical leave by their employer under the FFCRA, an emergency responder is an employee who is necessary for the provision of tr</w:t>
      </w:r>
      <w:r>
        <w:t xml:space="preserve">ansport, care, health care, comfort and nutrition of such patients, or whose services are otherwise needed to limit the spread of COVID-19. </w:t>
      </w:r>
    </w:p>
    <w:p w14:paraId="2EFCEA02" w14:textId="77777777" w:rsidR="00F31BB9" w:rsidRDefault="00A35ED0" w:rsidP="00F31BB9">
      <w:pPr>
        <w:pStyle w:val="BodyText"/>
      </w:pPr>
      <w:r>
        <w:t xml:space="preserve">This includes but is not limited to military or national guard, law enforcement officers, correctional institution </w:t>
      </w:r>
      <w:r>
        <w:t>personnel, fire fighters, emergency medical services personnel, physicians, nurses, public health personnel, emergency medical technicians, paramedics, emergency management personnel, 911 operators, public works personnel, and persons with skills or traini</w:t>
      </w:r>
      <w:r>
        <w:t>ng in operating specialized equipment or other skills needed to provide aid in a declared emergency</w:t>
      </w:r>
      <w:r w:rsidR="00E93035">
        <w:t>,</w:t>
      </w:r>
      <w:r>
        <w:t xml:space="preserve"> as well as individuals who work for such facilities employing these individuals and whose work is necessary to maintain the operation of the facility. This</w:t>
      </w:r>
      <w:r>
        <w:t xml:space="preserve"> also includes any individual that the highest official of a state or territory, including the District of Columbia, determines is an emergency responder necessary for that state’s or territory’s</w:t>
      </w:r>
      <w:r w:rsidR="00E93035">
        <w:t>—or</w:t>
      </w:r>
      <w:r>
        <w:t xml:space="preserve"> the District of Columbia’s</w:t>
      </w:r>
      <w:r w:rsidR="00E93035">
        <w:t>—response</w:t>
      </w:r>
      <w:r>
        <w:t xml:space="preserve"> to COVID-19.</w:t>
      </w:r>
    </w:p>
    <w:p w14:paraId="37AA0DAB" w14:textId="77777777" w:rsidR="00F31BB9" w:rsidRDefault="00A35ED0" w:rsidP="00F31BB9">
      <w:pPr>
        <w:pStyle w:val="BodyText"/>
      </w:pPr>
      <w:r>
        <w:t xml:space="preserve">To </w:t>
      </w:r>
      <w:r>
        <w:t>minimize the spread of the virus associated with COVID-19, the D</w:t>
      </w:r>
      <w:r w:rsidR="00E93035">
        <w:t>OL</w:t>
      </w:r>
      <w:r>
        <w:t xml:space="preserve"> encourages employers to be judicious when using this definition to exempt emergency responders from the provisions of the FFCRA.</w:t>
      </w:r>
    </w:p>
    <w:p w14:paraId="11DB22C7" w14:textId="77777777" w:rsidR="00F31BB9" w:rsidRDefault="00A35ED0" w:rsidP="00A91D1B">
      <w:pPr>
        <w:pStyle w:val="SubHeader"/>
      </w:pPr>
      <w:r>
        <w:t>When does the small business exemption apply to exclude a sm</w:t>
      </w:r>
      <w:r>
        <w:t>all business from the provisions of the Emergency Paid Sick Leave Act and Emergency Family and Medical Leave Expansion Act?</w:t>
      </w:r>
    </w:p>
    <w:p w14:paraId="1ED1F4FA" w14:textId="77777777" w:rsidR="00F31BB9" w:rsidRDefault="00A35ED0" w:rsidP="00F31BB9">
      <w:pPr>
        <w:pStyle w:val="BodyText"/>
      </w:pPr>
      <w:r>
        <w:t>An employer, including a religious or nonprofit organization, with fewer than 50 employees (</w:t>
      </w:r>
      <w:r w:rsidR="00E93035">
        <w:t xml:space="preserve">a </w:t>
      </w:r>
      <w:r>
        <w:t>small business) is exempt from providi</w:t>
      </w:r>
      <w:r>
        <w:t xml:space="preserve">ng (a) paid sick leave due to school or place of care closures or child care provider unavailability for COVID-19 </w:t>
      </w:r>
      <w:r>
        <w:lastRenderedPageBreak/>
        <w:t>related reasons and (b) expanded family and medical leave due to school or place of care closures or child care provider unavailability for CO</w:t>
      </w:r>
      <w:r>
        <w:t>VID-19 related reasons when doing so would jeopardize the viability of the small business as a going concern. A small business may claim this exemption if an authorized officer of the business has determined that:</w:t>
      </w:r>
    </w:p>
    <w:p w14:paraId="77AFD5A3" w14:textId="77777777" w:rsidR="00F31BB9" w:rsidRDefault="00A35ED0" w:rsidP="00A91D1B">
      <w:pPr>
        <w:pStyle w:val="Checkbox"/>
      </w:pPr>
      <w:r>
        <w:t>The provision of paid sick leave or expand</w:t>
      </w:r>
      <w:r>
        <w:t xml:space="preserve">ed family and medical leave would result in the small business’s expenses and financial obligations exceeding available business revenues and cause the small business to cease operating at a minimal capacity;  </w:t>
      </w:r>
    </w:p>
    <w:p w14:paraId="2FA3BE9C" w14:textId="77777777" w:rsidR="00F31BB9" w:rsidRDefault="00A35ED0" w:rsidP="00A91D1B">
      <w:pPr>
        <w:pStyle w:val="Checkbox"/>
      </w:pPr>
      <w:r>
        <w:t>The absence of the employee or employees requ</w:t>
      </w:r>
      <w:r>
        <w:t xml:space="preserve">esting paid sick leave or expanded family and medical leave would entail a substantial risk to the financial health or operational capabilities of the small business because of their specialized skills, knowledge of the business or responsibilities; or  </w:t>
      </w:r>
    </w:p>
    <w:p w14:paraId="37D42BD5" w14:textId="77777777" w:rsidR="00F31BB9" w:rsidRDefault="00A35ED0" w:rsidP="00A91D1B">
      <w:pPr>
        <w:pStyle w:val="Checkbox"/>
      </w:pPr>
      <w:r>
        <w:t>T</w:t>
      </w:r>
      <w:r>
        <w:t>here are not sufficient workers who are able, willing and qualified, and who will be available at the time and place needed, to perform the labor or services provided by the employee or employees requesting paid sick leave or expanded family and medical le</w:t>
      </w:r>
      <w:r>
        <w:t>ave, and th</w:t>
      </w:r>
      <w:r w:rsidR="0018619B">
        <w:t>is</w:t>
      </w:r>
      <w:r>
        <w:t xml:space="preserve"> labor or </w:t>
      </w:r>
      <w:r w:rsidR="0018619B">
        <w:t xml:space="preserve">these </w:t>
      </w:r>
      <w:r>
        <w:t>services are needed for the small business to operate at a minimal capacity.</w:t>
      </w:r>
    </w:p>
    <w:p w14:paraId="61A256F4" w14:textId="77777777" w:rsidR="00F31BB9" w:rsidRDefault="00A35ED0" w:rsidP="00A91D1B">
      <w:pPr>
        <w:pStyle w:val="SubHeader"/>
      </w:pPr>
      <w:r>
        <w:t>If I am a small business with fewer than 50 employees, am I exempt from the requirements to provide paid sick leave or expanded family and medical lea</w:t>
      </w:r>
      <w:r>
        <w:t>ve?</w:t>
      </w:r>
    </w:p>
    <w:p w14:paraId="2BEEC0E8" w14:textId="77777777" w:rsidR="00F31BB9" w:rsidRDefault="00A35ED0" w:rsidP="00F31BB9">
      <w:pPr>
        <w:pStyle w:val="BodyText"/>
      </w:pPr>
      <w:r>
        <w:t>A small business is exempt from certain paid sick leave and expanded family and medical leave requirements if providing an employee such leave would jeopardize the viability of the business as a going concern. This means a small business is exempt from</w:t>
      </w:r>
      <w:r>
        <w:t xml:space="preserve"> mandated paid sick leave or expanded family and medical leave requirements only if the:</w:t>
      </w:r>
    </w:p>
    <w:p w14:paraId="016B5E33" w14:textId="77777777" w:rsidR="00F31BB9" w:rsidRDefault="00A35ED0" w:rsidP="00A91D1B">
      <w:pPr>
        <w:pStyle w:val="Checkbox"/>
      </w:pPr>
      <w:r>
        <w:t>Employer employs fewer than 50 employees;</w:t>
      </w:r>
    </w:p>
    <w:p w14:paraId="0F097CCF" w14:textId="77777777" w:rsidR="00F31BB9" w:rsidRDefault="00A35ED0" w:rsidP="00A91D1B">
      <w:pPr>
        <w:pStyle w:val="Checkbox"/>
      </w:pPr>
      <w:r>
        <w:t>Leave is requested because the child’s school or place of care is closed, or child care provider is unavailable, due to COVID</w:t>
      </w:r>
      <w:r>
        <w:t>-19 related reasons; and</w:t>
      </w:r>
    </w:p>
    <w:p w14:paraId="7A05C01A" w14:textId="77777777" w:rsidR="00F31BB9" w:rsidRDefault="00A35ED0" w:rsidP="00A91D1B">
      <w:pPr>
        <w:pStyle w:val="Checkbox"/>
      </w:pPr>
      <w:r>
        <w:t xml:space="preserve">An authorized officer of the business has determined that at least one of the three conditions described in the FAQ directly above is satisfied. </w:t>
      </w:r>
    </w:p>
    <w:p w14:paraId="49A7A5E9" w14:textId="77777777" w:rsidR="00F31BB9" w:rsidRDefault="00A35ED0" w:rsidP="00F31BB9">
      <w:pPr>
        <w:pStyle w:val="BodyText"/>
      </w:pPr>
      <w:r>
        <w:t>The Department encourages employers and employees to collaborate to reach the best so</w:t>
      </w:r>
      <w:r>
        <w:t xml:space="preserve">lution for maintaining the business and ensuring employee safety. </w:t>
      </w:r>
    </w:p>
    <w:p w14:paraId="3F94B2A3" w14:textId="77777777" w:rsidR="00F31BB9" w:rsidRDefault="00F31BB9" w:rsidP="00521136">
      <w:pPr>
        <w:pStyle w:val="BodyText"/>
      </w:pPr>
    </w:p>
    <w:p w14:paraId="4695ECA2" w14:textId="77777777" w:rsidR="00C84C66" w:rsidRPr="004967FA" w:rsidRDefault="00C84C66" w:rsidP="004967FA">
      <w:pPr>
        <w:pStyle w:val="BodyText"/>
      </w:pPr>
    </w:p>
    <w:sectPr w:rsidR="00C84C66" w:rsidRPr="004967FA" w:rsidSect="00C84C66">
      <w:headerReference w:type="default" r:id="rId14"/>
      <w:footerReference w:type="default" r:id="rId15"/>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3B135" w14:textId="77777777" w:rsidR="00A35ED0" w:rsidRDefault="00A35ED0">
      <w:pPr>
        <w:spacing w:after="0" w:line="240" w:lineRule="auto"/>
      </w:pPr>
      <w:r>
        <w:separator/>
      </w:r>
    </w:p>
  </w:endnote>
  <w:endnote w:type="continuationSeparator" w:id="0">
    <w:p w14:paraId="369618F8" w14:textId="77777777" w:rsidR="00A35ED0" w:rsidRDefault="00A3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A9B5" w14:textId="77777777" w:rsidR="0098636D" w:rsidRDefault="00A35ED0">
    <w:pPr>
      <w:pStyle w:val="Footer"/>
    </w:pPr>
    <w:r>
      <w:rPr>
        <w:noProof/>
      </w:rPr>
      <mc:AlternateContent>
        <mc:Choice Requires="wps">
          <w:drawing>
            <wp:anchor distT="0" distB="0" distL="114300" distR="114300" simplePos="0" relativeHeight="251663360" behindDoc="0" locked="0" layoutInCell="1" allowOverlap="1" wp14:anchorId="7D627223" wp14:editId="44C1A4DF">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4384" from="0,0" to="324.9pt,0" strokecolor="#6f61b0" strokeweight="3.5pt">
              <v:stroke joinstyle="miter" opacity="49087f"/>
              <w10:wrap anchorx="margin" anchory="margin"/>
            </v:line>
          </w:pict>
        </mc:Fallback>
      </mc:AlternateContent>
    </w:r>
    <w:r>
      <w:rPr>
        <w:noProof/>
      </w:rPr>
      <w:drawing>
        <wp:anchor distT="0" distB="0" distL="114300" distR="114300" simplePos="0" relativeHeight="251659264" behindDoc="1" locked="0" layoutInCell="1" allowOverlap="1" wp14:anchorId="53DED81A" wp14:editId="2715362A">
          <wp:simplePos x="0" y="0"/>
          <wp:positionH relativeFrom="page">
            <wp:posOffset>0</wp:posOffset>
          </wp:positionH>
          <wp:positionV relativeFrom="paragraph">
            <wp:posOffset>1492575</wp:posOffset>
          </wp:positionV>
          <wp:extent cx="7772400" cy="63093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081088"/>
      <w:docPartObj>
        <w:docPartGallery w:val="Page Numbers (Bottom of Page)"/>
        <w:docPartUnique/>
      </w:docPartObj>
    </w:sdtPr>
    <w:sdtEndPr>
      <w:rPr>
        <w:noProof/>
      </w:rPr>
    </w:sdtEndPr>
    <w:sdtContent>
      <w:p w14:paraId="07400855" w14:textId="77777777" w:rsidR="00E35483" w:rsidRDefault="00A35ED0">
        <w:pPr>
          <w:pStyle w:val="Footer"/>
          <w:jc w:val="right"/>
        </w:pPr>
        <w:r>
          <w:rPr>
            <w:noProof/>
          </w:rPr>
          <mc:AlternateContent>
            <mc:Choice Requires="wps">
              <w:drawing>
                <wp:anchor distT="0" distB="0" distL="114300" distR="114300" simplePos="0" relativeHeight="251661312" behindDoc="0" locked="0" layoutInCell="1" allowOverlap="1" wp14:anchorId="787AA522" wp14:editId="141DF181">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50527" cy="556260"/>
                          </a:xfrm>
                          <a:prstGeom prst="rect">
                            <a:avLst/>
                          </a:prstGeom>
                          <a:noFill/>
                          <a:ln w="6350">
                            <a:noFill/>
                          </a:ln>
                          <a:effectLst/>
                        </wps:spPr>
                        <wps:txbx>
                          <w:txbxContent>
                            <w:p w14:paraId="72B989B7" w14:textId="77777777" w:rsidR="00267C01" w:rsidRPr="00817EEE" w:rsidRDefault="00A35ED0" w:rsidP="00267C01">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005461D2">
                                <w:rPr>
                                  <w:szCs w:val="16"/>
                                </w:rPr>
                                <w:t xml:space="preserve">Design only </w:t>
                              </w:r>
                              <w:r w:rsidRPr="00817EEE">
                                <w:t>©</w:t>
                              </w:r>
                              <w:r w:rsidR="0040083C">
                                <w:t>2020</w:t>
                              </w:r>
                              <w:r>
                                <w:t xml:space="preserve"> </w:t>
                              </w:r>
                              <w:r w:rsidRPr="00817EEE">
                                <w:t>Zywave, Inc.</w:t>
                              </w:r>
                              <w:r>
                                <w:t xml:space="preserve"> </w:t>
                              </w:r>
                              <w:r w:rsidRPr="00817EEE">
                                <w:t>All rights reserved.</w:t>
                              </w:r>
                            </w:p>
                            <w:p w14:paraId="52E518BB" w14:textId="77777777" w:rsidR="00267C01" w:rsidRPr="00947E11" w:rsidRDefault="00267C01" w:rsidP="00267C01">
                              <w:pPr>
                                <w:pStyle w:val="Disclaimer"/>
                                <w:rPr>
                                  <w:szCs w:val="16"/>
                                </w:rPr>
                              </w:pPr>
                            </w:p>
                            <w:p w14:paraId="39F2A376" w14:textId="77777777" w:rsidR="00267C01" w:rsidRPr="00947E11" w:rsidRDefault="00267C01" w:rsidP="00267C01">
                              <w:pPr>
                                <w:pStyle w:val="Disclaimer"/>
                                <w:rPr>
                                  <w:szCs w:val="16"/>
                                </w:rPr>
                              </w:pPr>
                            </w:p>
                            <w:p w14:paraId="2C75C46E" w14:textId="77777777" w:rsidR="00267C01" w:rsidRPr="00947E11" w:rsidRDefault="00267C01" w:rsidP="00267C01">
                              <w:pPr>
                                <w:pStyle w:val="Disclaimer"/>
                                <w:rPr>
                                  <w:szCs w:val="16"/>
                                </w:rPr>
                              </w:pPr>
                            </w:p>
                            <w:p w14:paraId="3CFD6C47" w14:textId="77777777" w:rsidR="00E6115F" w:rsidRPr="00947E11" w:rsidRDefault="00E6115F" w:rsidP="008F7B15">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267C01" w:rsidRPr="00817EEE" w:rsidP="00267C01" w14:paraId="0DB27573" w14:textId="757C8F72">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005461D2">
                          <w:rPr>
                            <w:szCs w:val="16"/>
                          </w:rPr>
                          <w:t xml:space="preserve">Design only </w:t>
                        </w:r>
                        <w:r w:rsidRPr="00817EEE">
                          <w:t>©</w:t>
                        </w:r>
                        <w:r w:rsidR="0040083C">
                          <w:t>2020</w:t>
                        </w:r>
                        <w:r>
                          <w:t xml:space="preserve"> </w:t>
                        </w:r>
                        <w:r w:rsidRPr="00817EEE">
                          <w:t>Zywave, Inc.</w:t>
                        </w:r>
                        <w:r>
                          <w:t xml:space="preserve"> </w:t>
                        </w:r>
                        <w:r w:rsidRPr="00817EEE">
                          <w:t>All rights reserved.</w:t>
                        </w:r>
                      </w:p>
                      <w:p w:rsidR="00267C01" w:rsidRPr="00947E11" w:rsidP="00267C01" w14:paraId="1250708E" w14:textId="77777777">
                        <w:pPr>
                          <w:pStyle w:val="Disclaimer"/>
                          <w:rPr>
                            <w:szCs w:val="16"/>
                          </w:rPr>
                        </w:pPr>
                      </w:p>
                      <w:p w:rsidR="00267C01" w:rsidRPr="00947E11" w:rsidP="00267C01" w14:paraId="32FABEC5" w14:textId="77777777">
                        <w:pPr>
                          <w:pStyle w:val="Disclaimer"/>
                          <w:rPr>
                            <w:szCs w:val="16"/>
                          </w:rPr>
                        </w:pPr>
                      </w:p>
                      <w:p w:rsidR="00267C01" w:rsidRPr="00947E11" w:rsidP="00267C01" w14:paraId="58755478" w14:textId="77777777">
                        <w:pPr>
                          <w:pStyle w:val="Disclaimer"/>
                          <w:rPr>
                            <w:szCs w:val="16"/>
                          </w:rPr>
                        </w:pPr>
                      </w:p>
                      <w:p w:rsidR="00E6115F" w:rsidRPr="00947E11" w:rsidP="008F7B15" w14:paraId="283675AF" w14:textId="77777777">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BC6A7EB" wp14:editId="6F24DC34">
                  <wp:simplePos x="0" y="0"/>
                  <wp:positionH relativeFrom="margin">
                    <wp:posOffset>7620</wp:posOffset>
                  </wp:positionH>
                  <wp:positionV relativeFrom="bottomMargin">
                    <wp:posOffset>7620</wp:posOffset>
                  </wp:positionV>
                  <wp:extent cx="6848475" cy="8890"/>
                  <wp:effectExtent l="19050" t="19050" r="9525" b="29210"/>
                  <wp:wrapNone/>
                  <wp:docPr id="723811719" name="Straight Connector 1"/>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6432" from="0.6pt,0.6pt" to="539.85pt,1.3pt" strokecolor="#6f61b0" strokeweight="3.5pt">
                  <v:stroke joinstyle="miter" opacity="49087f"/>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E8C5E0D" w14:textId="77777777" w:rsidR="00E6115F" w:rsidRDefault="00E6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AF3CD" w14:textId="77777777" w:rsidR="00A35ED0" w:rsidRDefault="00A35ED0">
      <w:pPr>
        <w:spacing w:after="0" w:line="240" w:lineRule="auto"/>
      </w:pPr>
      <w:r>
        <w:separator/>
      </w:r>
    </w:p>
  </w:footnote>
  <w:footnote w:type="continuationSeparator" w:id="0">
    <w:p w14:paraId="2193FDDC" w14:textId="77777777" w:rsidR="00A35ED0" w:rsidRDefault="00A3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DD9A" w14:textId="77777777" w:rsidR="0098636D" w:rsidRDefault="00A35ED0">
    <w:pPr>
      <w:pStyle w:val="Header"/>
    </w:pPr>
    <w:r>
      <w:rPr>
        <w:noProof/>
      </w:rPr>
      <w:drawing>
        <wp:anchor distT="0" distB="0" distL="114300" distR="114300" simplePos="0" relativeHeight="251658240" behindDoc="1" locked="0" layoutInCell="1" allowOverlap="1" wp14:anchorId="459ADCCA" wp14:editId="6114FE08">
          <wp:simplePos x="0" y="0"/>
          <wp:positionH relativeFrom="page">
            <wp:align>right</wp:align>
          </wp:positionH>
          <wp:positionV relativeFrom="page">
            <wp:align>top</wp:align>
          </wp:positionV>
          <wp:extent cx="7760969" cy="1004226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69"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EF85" w14:textId="77777777" w:rsidR="00A357CD" w:rsidRDefault="00A35ED0">
    <w:pPr>
      <w:pStyle w:val="Header"/>
    </w:pPr>
    <w:r>
      <w:rPr>
        <w:noProof/>
      </w:rPr>
      <w:drawing>
        <wp:anchor distT="0" distB="0" distL="114300" distR="114300" simplePos="0" relativeHeight="251660288" behindDoc="1" locked="0" layoutInCell="1" allowOverlap="1" wp14:anchorId="73CB9F21" wp14:editId="65A4A5D4">
          <wp:simplePos x="0" y="0"/>
          <wp:positionH relativeFrom="page">
            <wp:posOffset>9144</wp:posOffset>
          </wp:positionH>
          <wp:positionV relativeFrom="paragraph">
            <wp:posOffset>-448056</wp:posOffset>
          </wp:positionV>
          <wp:extent cx="7755309" cy="163677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97797"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55309" cy="163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184"/>
    <w:multiLevelType w:val="hybridMultilevel"/>
    <w:tmpl w:val="01628884"/>
    <w:lvl w:ilvl="0" w:tplc="973C69F6">
      <w:start w:val="1"/>
      <w:numFmt w:val="bullet"/>
      <w:pStyle w:val="BulletListText"/>
      <w:lvlText w:val=""/>
      <w:lvlJc w:val="left"/>
      <w:pPr>
        <w:ind w:left="720" w:hanging="360"/>
      </w:pPr>
      <w:rPr>
        <w:rFonts w:ascii="Symbol" w:hAnsi="Symbol" w:hint="default"/>
        <w:color w:val="6F61B0"/>
      </w:rPr>
    </w:lvl>
    <w:lvl w:ilvl="1" w:tplc="A2C02424">
      <w:start w:val="1"/>
      <w:numFmt w:val="bullet"/>
      <w:lvlText w:val="o"/>
      <w:lvlJc w:val="left"/>
      <w:pPr>
        <w:ind w:left="1440" w:hanging="360"/>
      </w:pPr>
      <w:rPr>
        <w:rFonts w:ascii="Courier New" w:hAnsi="Courier New" w:cs="Courier New" w:hint="default"/>
      </w:rPr>
    </w:lvl>
    <w:lvl w:ilvl="2" w:tplc="FEAEF8D0">
      <w:start w:val="1"/>
      <w:numFmt w:val="bullet"/>
      <w:lvlText w:val=""/>
      <w:lvlJc w:val="left"/>
      <w:pPr>
        <w:ind w:left="2160" w:hanging="360"/>
      </w:pPr>
      <w:rPr>
        <w:rFonts w:ascii="Wingdings" w:hAnsi="Wingdings" w:hint="default"/>
      </w:rPr>
    </w:lvl>
    <w:lvl w:ilvl="3" w:tplc="0A5CEF90">
      <w:start w:val="1"/>
      <w:numFmt w:val="bullet"/>
      <w:lvlText w:val=""/>
      <w:lvlJc w:val="left"/>
      <w:pPr>
        <w:ind w:left="2880" w:hanging="360"/>
      </w:pPr>
      <w:rPr>
        <w:rFonts w:ascii="Symbol" w:hAnsi="Symbol" w:hint="default"/>
      </w:rPr>
    </w:lvl>
    <w:lvl w:ilvl="4" w:tplc="1FB482F6" w:tentative="1">
      <w:start w:val="1"/>
      <w:numFmt w:val="bullet"/>
      <w:lvlText w:val="o"/>
      <w:lvlJc w:val="left"/>
      <w:pPr>
        <w:ind w:left="3600" w:hanging="360"/>
      </w:pPr>
      <w:rPr>
        <w:rFonts w:ascii="Courier New" w:hAnsi="Courier New" w:cs="Courier New" w:hint="default"/>
      </w:rPr>
    </w:lvl>
    <w:lvl w:ilvl="5" w:tplc="95E4AED8" w:tentative="1">
      <w:start w:val="1"/>
      <w:numFmt w:val="bullet"/>
      <w:lvlText w:val=""/>
      <w:lvlJc w:val="left"/>
      <w:pPr>
        <w:ind w:left="4320" w:hanging="360"/>
      </w:pPr>
      <w:rPr>
        <w:rFonts w:ascii="Wingdings" w:hAnsi="Wingdings" w:hint="default"/>
      </w:rPr>
    </w:lvl>
    <w:lvl w:ilvl="6" w:tplc="2A88FC90" w:tentative="1">
      <w:start w:val="1"/>
      <w:numFmt w:val="bullet"/>
      <w:lvlText w:val=""/>
      <w:lvlJc w:val="left"/>
      <w:pPr>
        <w:ind w:left="5040" w:hanging="360"/>
      </w:pPr>
      <w:rPr>
        <w:rFonts w:ascii="Symbol" w:hAnsi="Symbol" w:hint="default"/>
      </w:rPr>
    </w:lvl>
    <w:lvl w:ilvl="7" w:tplc="E0664FC2" w:tentative="1">
      <w:start w:val="1"/>
      <w:numFmt w:val="bullet"/>
      <w:lvlText w:val="o"/>
      <w:lvlJc w:val="left"/>
      <w:pPr>
        <w:ind w:left="5760" w:hanging="360"/>
      </w:pPr>
      <w:rPr>
        <w:rFonts w:ascii="Courier New" w:hAnsi="Courier New" w:cs="Courier New" w:hint="default"/>
      </w:rPr>
    </w:lvl>
    <w:lvl w:ilvl="8" w:tplc="2F72925C" w:tentative="1">
      <w:start w:val="1"/>
      <w:numFmt w:val="bullet"/>
      <w:lvlText w:val=""/>
      <w:lvlJc w:val="left"/>
      <w:pPr>
        <w:ind w:left="6480" w:hanging="360"/>
      </w:pPr>
      <w:rPr>
        <w:rFonts w:ascii="Wingdings" w:hAnsi="Wingdings" w:hint="default"/>
      </w:rPr>
    </w:lvl>
  </w:abstractNum>
  <w:abstractNum w:abstractNumId="1" w15:restartNumberingAfterBreak="0">
    <w:nsid w:val="02EB1D96"/>
    <w:multiLevelType w:val="multilevel"/>
    <w:tmpl w:val="B13CDD56"/>
    <w:numStyleLink w:val="BulletedList"/>
  </w:abstractNum>
  <w:abstractNum w:abstractNumId="2" w15:restartNumberingAfterBreak="0">
    <w:nsid w:val="107872B1"/>
    <w:multiLevelType w:val="multilevel"/>
    <w:tmpl w:val="B13CDD56"/>
    <w:numStyleLink w:val="BulletedList"/>
  </w:abstractNum>
  <w:abstractNum w:abstractNumId="3" w15:restartNumberingAfterBreak="0">
    <w:nsid w:val="11E95063"/>
    <w:multiLevelType w:val="hybridMultilevel"/>
    <w:tmpl w:val="0CE2A7C2"/>
    <w:lvl w:ilvl="0" w:tplc="7FA07B20">
      <w:start w:val="1"/>
      <w:numFmt w:val="bullet"/>
      <w:pStyle w:val="BulletList"/>
      <w:lvlText w:val=""/>
      <w:lvlJc w:val="left"/>
      <w:pPr>
        <w:ind w:left="540" w:hanging="360"/>
      </w:pPr>
      <w:rPr>
        <w:rFonts w:ascii="Symbol" w:hAnsi="Symbol" w:hint="default"/>
        <w:color w:val="5083C9"/>
      </w:rPr>
    </w:lvl>
    <w:lvl w:ilvl="1" w:tplc="FE8010A6">
      <w:start w:val="1"/>
      <w:numFmt w:val="bullet"/>
      <w:lvlText w:val="o"/>
      <w:lvlJc w:val="left"/>
      <w:pPr>
        <w:ind w:left="1440" w:hanging="360"/>
      </w:pPr>
      <w:rPr>
        <w:rFonts w:ascii="Courier New" w:hAnsi="Courier New" w:cs="Courier New" w:hint="default"/>
      </w:rPr>
    </w:lvl>
    <w:lvl w:ilvl="2" w:tplc="FC2EF724">
      <w:start w:val="1"/>
      <w:numFmt w:val="bullet"/>
      <w:lvlText w:val=""/>
      <w:lvlJc w:val="left"/>
      <w:pPr>
        <w:ind w:left="2160" w:hanging="360"/>
      </w:pPr>
      <w:rPr>
        <w:rFonts w:ascii="Wingdings" w:hAnsi="Wingdings" w:hint="default"/>
      </w:rPr>
    </w:lvl>
    <w:lvl w:ilvl="3" w:tplc="C5F00E1C" w:tentative="1">
      <w:start w:val="1"/>
      <w:numFmt w:val="bullet"/>
      <w:lvlText w:val=""/>
      <w:lvlJc w:val="left"/>
      <w:pPr>
        <w:ind w:left="2880" w:hanging="360"/>
      </w:pPr>
      <w:rPr>
        <w:rFonts w:ascii="Symbol" w:hAnsi="Symbol" w:hint="default"/>
      </w:rPr>
    </w:lvl>
    <w:lvl w:ilvl="4" w:tplc="C77ED3C2" w:tentative="1">
      <w:start w:val="1"/>
      <w:numFmt w:val="bullet"/>
      <w:lvlText w:val="o"/>
      <w:lvlJc w:val="left"/>
      <w:pPr>
        <w:ind w:left="3600" w:hanging="360"/>
      </w:pPr>
      <w:rPr>
        <w:rFonts w:ascii="Courier New" w:hAnsi="Courier New" w:cs="Courier New" w:hint="default"/>
      </w:rPr>
    </w:lvl>
    <w:lvl w:ilvl="5" w:tplc="6FB847F8" w:tentative="1">
      <w:start w:val="1"/>
      <w:numFmt w:val="bullet"/>
      <w:lvlText w:val=""/>
      <w:lvlJc w:val="left"/>
      <w:pPr>
        <w:ind w:left="4320" w:hanging="360"/>
      </w:pPr>
      <w:rPr>
        <w:rFonts w:ascii="Wingdings" w:hAnsi="Wingdings" w:hint="default"/>
      </w:rPr>
    </w:lvl>
    <w:lvl w:ilvl="6" w:tplc="88F6C9B4" w:tentative="1">
      <w:start w:val="1"/>
      <w:numFmt w:val="bullet"/>
      <w:lvlText w:val=""/>
      <w:lvlJc w:val="left"/>
      <w:pPr>
        <w:ind w:left="5040" w:hanging="360"/>
      </w:pPr>
      <w:rPr>
        <w:rFonts w:ascii="Symbol" w:hAnsi="Symbol" w:hint="default"/>
      </w:rPr>
    </w:lvl>
    <w:lvl w:ilvl="7" w:tplc="ADDC54EE" w:tentative="1">
      <w:start w:val="1"/>
      <w:numFmt w:val="bullet"/>
      <w:lvlText w:val="o"/>
      <w:lvlJc w:val="left"/>
      <w:pPr>
        <w:ind w:left="5760" w:hanging="360"/>
      </w:pPr>
      <w:rPr>
        <w:rFonts w:ascii="Courier New" w:hAnsi="Courier New" w:cs="Courier New" w:hint="default"/>
      </w:rPr>
    </w:lvl>
    <w:lvl w:ilvl="8" w:tplc="8318C99A" w:tentative="1">
      <w:start w:val="1"/>
      <w:numFmt w:val="bullet"/>
      <w:lvlText w:val=""/>
      <w:lvlJc w:val="left"/>
      <w:pPr>
        <w:ind w:left="6480" w:hanging="360"/>
      </w:pPr>
      <w:rPr>
        <w:rFonts w:ascii="Wingdings" w:hAnsi="Wingdings" w:hint="default"/>
      </w:rPr>
    </w:lvl>
  </w:abstractNum>
  <w:abstractNum w:abstractNumId="4" w15:restartNumberingAfterBreak="0">
    <w:nsid w:val="1552176E"/>
    <w:multiLevelType w:val="multilevel"/>
    <w:tmpl w:val="B13CDD56"/>
    <w:numStyleLink w:val="BulletedList"/>
  </w:abstractNum>
  <w:abstractNum w:abstractNumId="5" w15:restartNumberingAfterBreak="0">
    <w:nsid w:val="15AF19AE"/>
    <w:multiLevelType w:val="multilevel"/>
    <w:tmpl w:val="B13CDD56"/>
    <w:numStyleLink w:val="BulletedList"/>
  </w:abstractNum>
  <w:abstractNum w:abstractNumId="6" w15:restartNumberingAfterBreak="0">
    <w:nsid w:val="1A270686"/>
    <w:multiLevelType w:val="hybridMultilevel"/>
    <w:tmpl w:val="409AC006"/>
    <w:lvl w:ilvl="0" w:tplc="C5D6578C">
      <w:start w:val="1"/>
      <w:numFmt w:val="bullet"/>
      <w:pStyle w:val="Checkbox"/>
      <w:lvlText w:val=""/>
      <w:lvlJc w:val="left"/>
      <w:pPr>
        <w:ind w:left="1170" w:hanging="360"/>
      </w:pPr>
      <w:rPr>
        <w:rFonts w:ascii="Wingdings" w:hAnsi="Wingdings" w:hint="default"/>
        <w:color w:val="5083C9"/>
        <w:sz w:val="28"/>
      </w:rPr>
    </w:lvl>
    <w:lvl w:ilvl="1" w:tplc="2892F290">
      <w:start w:val="1"/>
      <w:numFmt w:val="bullet"/>
      <w:lvlText w:val="o"/>
      <w:lvlJc w:val="left"/>
      <w:pPr>
        <w:ind w:left="2070" w:hanging="360"/>
      </w:pPr>
      <w:rPr>
        <w:rFonts w:ascii="Courier New" w:hAnsi="Courier New" w:cs="Courier New" w:hint="default"/>
      </w:rPr>
    </w:lvl>
    <w:lvl w:ilvl="2" w:tplc="0D9C96FC">
      <w:start w:val="1"/>
      <w:numFmt w:val="bullet"/>
      <w:lvlText w:val=""/>
      <w:lvlJc w:val="left"/>
      <w:pPr>
        <w:ind w:left="2790" w:hanging="360"/>
      </w:pPr>
      <w:rPr>
        <w:rFonts w:ascii="Wingdings" w:hAnsi="Wingdings" w:hint="default"/>
      </w:rPr>
    </w:lvl>
    <w:lvl w:ilvl="3" w:tplc="E6B8D6D2" w:tentative="1">
      <w:start w:val="1"/>
      <w:numFmt w:val="bullet"/>
      <w:lvlText w:val=""/>
      <w:lvlJc w:val="left"/>
      <w:pPr>
        <w:ind w:left="3510" w:hanging="360"/>
      </w:pPr>
      <w:rPr>
        <w:rFonts w:ascii="Symbol" w:hAnsi="Symbol" w:hint="default"/>
      </w:rPr>
    </w:lvl>
    <w:lvl w:ilvl="4" w:tplc="B0588F14" w:tentative="1">
      <w:start w:val="1"/>
      <w:numFmt w:val="bullet"/>
      <w:lvlText w:val="o"/>
      <w:lvlJc w:val="left"/>
      <w:pPr>
        <w:ind w:left="4230" w:hanging="360"/>
      </w:pPr>
      <w:rPr>
        <w:rFonts w:ascii="Courier New" w:hAnsi="Courier New" w:cs="Courier New" w:hint="default"/>
      </w:rPr>
    </w:lvl>
    <w:lvl w:ilvl="5" w:tplc="6B5E8C82" w:tentative="1">
      <w:start w:val="1"/>
      <w:numFmt w:val="bullet"/>
      <w:lvlText w:val=""/>
      <w:lvlJc w:val="left"/>
      <w:pPr>
        <w:ind w:left="4950" w:hanging="360"/>
      </w:pPr>
      <w:rPr>
        <w:rFonts w:ascii="Wingdings" w:hAnsi="Wingdings" w:hint="default"/>
      </w:rPr>
    </w:lvl>
    <w:lvl w:ilvl="6" w:tplc="C046C428" w:tentative="1">
      <w:start w:val="1"/>
      <w:numFmt w:val="bullet"/>
      <w:lvlText w:val=""/>
      <w:lvlJc w:val="left"/>
      <w:pPr>
        <w:ind w:left="5670" w:hanging="360"/>
      </w:pPr>
      <w:rPr>
        <w:rFonts w:ascii="Symbol" w:hAnsi="Symbol" w:hint="default"/>
      </w:rPr>
    </w:lvl>
    <w:lvl w:ilvl="7" w:tplc="EBB40C82" w:tentative="1">
      <w:start w:val="1"/>
      <w:numFmt w:val="bullet"/>
      <w:lvlText w:val="o"/>
      <w:lvlJc w:val="left"/>
      <w:pPr>
        <w:ind w:left="6390" w:hanging="360"/>
      </w:pPr>
      <w:rPr>
        <w:rFonts w:ascii="Courier New" w:hAnsi="Courier New" w:cs="Courier New" w:hint="default"/>
      </w:rPr>
    </w:lvl>
    <w:lvl w:ilvl="8" w:tplc="3DA0B6FC" w:tentative="1">
      <w:start w:val="1"/>
      <w:numFmt w:val="bullet"/>
      <w:lvlText w:val=""/>
      <w:lvlJc w:val="left"/>
      <w:pPr>
        <w:ind w:left="7110" w:hanging="360"/>
      </w:pPr>
      <w:rPr>
        <w:rFonts w:ascii="Wingdings" w:hAnsi="Wingdings" w:hint="default"/>
      </w:rPr>
    </w:lvl>
  </w:abstractNum>
  <w:abstractNum w:abstractNumId="7" w15:restartNumberingAfterBreak="0">
    <w:nsid w:val="1AA327BD"/>
    <w:multiLevelType w:val="multilevel"/>
    <w:tmpl w:val="5E0EC2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8601A1"/>
    <w:multiLevelType w:val="hybridMultilevel"/>
    <w:tmpl w:val="43CE94D6"/>
    <w:lvl w:ilvl="0" w:tplc="20C21E44">
      <w:start w:val="1"/>
      <w:numFmt w:val="bullet"/>
      <w:lvlText w:val=""/>
      <w:lvlJc w:val="left"/>
      <w:pPr>
        <w:ind w:left="720" w:hanging="360"/>
      </w:pPr>
      <w:rPr>
        <w:rFonts w:ascii="Symbol" w:hAnsi="Symbol" w:hint="default"/>
      </w:rPr>
    </w:lvl>
    <w:lvl w:ilvl="1" w:tplc="9978FE30">
      <w:start w:val="1"/>
      <w:numFmt w:val="bullet"/>
      <w:lvlText w:val="o"/>
      <w:lvlJc w:val="left"/>
      <w:pPr>
        <w:ind w:left="1440" w:hanging="360"/>
      </w:pPr>
      <w:rPr>
        <w:rFonts w:ascii="Courier New" w:hAnsi="Courier New" w:hint="default"/>
      </w:rPr>
    </w:lvl>
    <w:lvl w:ilvl="2" w:tplc="077C7A2E" w:tentative="1">
      <w:start w:val="1"/>
      <w:numFmt w:val="bullet"/>
      <w:lvlText w:val=""/>
      <w:lvlJc w:val="left"/>
      <w:pPr>
        <w:ind w:left="2160" w:hanging="360"/>
      </w:pPr>
      <w:rPr>
        <w:rFonts w:ascii="Wingdings" w:hAnsi="Wingdings" w:hint="default"/>
      </w:rPr>
    </w:lvl>
    <w:lvl w:ilvl="3" w:tplc="C672B0E2" w:tentative="1">
      <w:start w:val="1"/>
      <w:numFmt w:val="bullet"/>
      <w:lvlText w:val=""/>
      <w:lvlJc w:val="left"/>
      <w:pPr>
        <w:ind w:left="2880" w:hanging="360"/>
      </w:pPr>
      <w:rPr>
        <w:rFonts w:ascii="Symbol" w:hAnsi="Symbol" w:hint="default"/>
      </w:rPr>
    </w:lvl>
    <w:lvl w:ilvl="4" w:tplc="74148872" w:tentative="1">
      <w:start w:val="1"/>
      <w:numFmt w:val="bullet"/>
      <w:lvlText w:val="o"/>
      <w:lvlJc w:val="left"/>
      <w:pPr>
        <w:ind w:left="3600" w:hanging="360"/>
      </w:pPr>
      <w:rPr>
        <w:rFonts w:ascii="Courier New" w:hAnsi="Courier New" w:cs="Courier New" w:hint="default"/>
      </w:rPr>
    </w:lvl>
    <w:lvl w:ilvl="5" w:tplc="FA88FC9A" w:tentative="1">
      <w:start w:val="1"/>
      <w:numFmt w:val="bullet"/>
      <w:lvlText w:val=""/>
      <w:lvlJc w:val="left"/>
      <w:pPr>
        <w:ind w:left="4320" w:hanging="360"/>
      </w:pPr>
      <w:rPr>
        <w:rFonts w:ascii="Wingdings" w:hAnsi="Wingdings" w:hint="default"/>
      </w:rPr>
    </w:lvl>
    <w:lvl w:ilvl="6" w:tplc="40069128" w:tentative="1">
      <w:start w:val="1"/>
      <w:numFmt w:val="bullet"/>
      <w:lvlText w:val=""/>
      <w:lvlJc w:val="left"/>
      <w:pPr>
        <w:ind w:left="5040" w:hanging="360"/>
      </w:pPr>
      <w:rPr>
        <w:rFonts w:ascii="Symbol" w:hAnsi="Symbol" w:hint="default"/>
      </w:rPr>
    </w:lvl>
    <w:lvl w:ilvl="7" w:tplc="452612D4" w:tentative="1">
      <w:start w:val="1"/>
      <w:numFmt w:val="bullet"/>
      <w:lvlText w:val="o"/>
      <w:lvlJc w:val="left"/>
      <w:pPr>
        <w:ind w:left="5760" w:hanging="360"/>
      </w:pPr>
      <w:rPr>
        <w:rFonts w:ascii="Courier New" w:hAnsi="Courier New" w:cs="Courier New" w:hint="default"/>
      </w:rPr>
    </w:lvl>
    <w:lvl w:ilvl="8" w:tplc="A5D2012E" w:tentative="1">
      <w:start w:val="1"/>
      <w:numFmt w:val="bullet"/>
      <w:lvlText w:val=""/>
      <w:lvlJc w:val="left"/>
      <w:pPr>
        <w:ind w:left="6480" w:hanging="360"/>
      </w:pPr>
      <w:rPr>
        <w:rFonts w:ascii="Wingdings" w:hAnsi="Wingdings" w:hint="default"/>
      </w:rPr>
    </w:lvl>
  </w:abstractNum>
  <w:abstractNum w:abstractNumId="10" w15:restartNumberingAfterBreak="0">
    <w:nsid w:val="4E624744"/>
    <w:multiLevelType w:val="hybridMultilevel"/>
    <w:tmpl w:val="D67CDEAC"/>
    <w:lvl w:ilvl="0" w:tplc="0AE8BA82">
      <w:start w:val="1"/>
      <w:numFmt w:val="bullet"/>
      <w:pStyle w:val="Xbox"/>
      <w:lvlText w:val=""/>
      <w:lvlJc w:val="left"/>
      <w:pPr>
        <w:ind w:left="540" w:hanging="360"/>
      </w:pPr>
      <w:rPr>
        <w:rFonts w:ascii="Wingdings" w:hAnsi="Wingdings" w:hint="default"/>
        <w:color w:val="BD6363"/>
        <w:sz w:val="28"/>
      </w:rPr>
    </w:lvl>
    <w:lvl w:ilvl="1" w:tplc="9F528E1A">
      <w:start w:val="1"/>
      <w:numFmt w:val="bullet"/>
      <w:lvlText w:val="o"/>
      <w:lvlJc w:val="left"/>
      <w:pPr>
        <w:ind w:left="1440" w:hanging="360"/>
      </w:pPr>
      <w:rPr>
        <w:rFonts w:ascii="Courier New" w:hAnsi="Courier New" w:cs="Courier New" w:hint="default"/>
      </w:rPr>
    </w:lvl>
    <w:lvl w:ilvl="2" w:tplc="17464B54" w:tentative="1">
      <w:start w:val="1"/>
      <w:numFmt w:val="bullet"/>
      <w:lvlText w:val=""/>
      <w:lvlJc w:val="left"/>
      <w:pPr>
        <w:ind w:left="2160" w:hanging="360"/>
      </w:pPr>
      <w:rPr>
        <w:rFonts w:ascii="Wingdings" w:hAnsi="Wingdings" w:hint="default"/>
      </w:rPr>
    </w:lvl>
    <w:lvl w:ilvl="3" w:tplc="49C45EE6" w:tentative="1">
      <w:start w:val="1"/>
      <w:numFmt w:val="bullet"/>
      <w:lvlText w:val=""/>
      <w:lvlJc w:val="left"/>
      <w:pPr>
        <w:ind w:left="2880" w:hanging="360"/>
      </w:pPr>
      <w:rPr>
        <w:rFonts w:ascii="Symbol" w:hAnsi="Symbol" w:hint="default"/>
      </w:rPr>
    </w:lvl>
    <w:lvl w:ilvl="4" w:tplc="35A087DC" w:tentative="1">
      <w:start w:val="1"/>
      <w:numFmt w:val="bullet"/>
      <w:lvlText w:val="o"/>
      <w:lvlJc w:val="left"/>
      <w:pPr>
        <w:ind w:left="3600" w:hanging="360"/>
      </w:pPr>
      <w:rPr>
        <w:rFonts w:ascii="Courier New" w:hAnsi="Courier New" w:cs="Courier New" w:hint="default"/>
      </w:rPr>
    </w:lvl>
    <w:lvl w:ilvl="5" w:tplc="A24E0654" w:tentative="1">
      <w:start w:val="1"/>
      <w:numFmt w:val="bullet"/>
      <w:lvlText w:val=""/>
      <w:lvlJc w:val="left"/>
      <w:pPr>
        <w:ind w:left="4320" w:hanging="360"/>
      </w:pPr>
      <w:rPr>
        <w:rFonts w:ascii="Wingdings" w:hAnsi="Wingdings" w:hint="default"/>
      </w:rPr>
    </w:lvl>
    <w:lvl w:ilvl="6" w:tplc="231AFE80" w:tentative="1">
      <w:start w:val="1"/>
      <w:numFmt w:val="bullet"/>
      <w:lvlText w:val=""/>
      <w:lvlJc w:val="left"/>
      <w:pPr>
        <w:ind w:left="5040" w:hanging="360"/>
      </w:pPr>
      <w:rPr>
        <w:rFonts w:ascii="Symbol" w:hAnsi="Symbol" w:hint="default"/>
      </w:rPr>
    </w:lvl>
    <w:lvl w:ilvl="7" w:tplc="0BC01CD0" w:tentative="1">
      <w:start w:val="1"/>
      <w:numFmt w:val="bullet"/>
      <w:lvlText w:val="o"/>
      <w:lvlJc w:val="left"/>
      <w:pPr>
        <w:ind w:left="5760" w:hanging="360"/>
      </w:pPr>
      <w:rPr>
        <w:rFonts w:ascii="Courier New" w:hAnsi="Courier New" w:cs="Courier New" w:hint="default"/>
      </w:rPr>
    </w:lvl>
    <w:lvl w:ilvl="8" w:tplc="9EBE7AEC" w:tentative="1">
      <w:start w:val="1"/>
      <w:numFmt w:val="bullet"/>
      <w:lvlText w:val=""/>
      <w:lvlJc w:val="left"/>
      <w:pPr>
        <w:ind w:left="6480" w:hanging="360"/>
      </w:pPr>
      <w:rPr>
        <w:rFonts w:ascii="Wingdings" w:hAnsi="Wingdings" w:hint="default"/>
      </w:rPr>
    </w:lvl>
  </w:abstractNum>
  <w:abstractNum w:abstractNumId="11" w15:restartNumberingAfterBreak="0">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D41DC0"/>
    <w:multiLevelType w:val="multilevel"/>
    <w:tmpl w:val="B13CDD56"/>
    <w:numStyleLink w:val="BulletedList"/>
  </w:abstractNum>
  <w:abstractNum w:abstractNumId="13" w15:restartNumberingAfterBreak="0">
    <w:nsid w:val="706E0AA3"/>
    <w:multiLevelType w:val="hybridMultilevel"/>
    <w:tmpl w:val="839A40D6"/>
    <w:lvl w:ilvl="0" w:tplc="3FB2EC6A">
      <w:start w:val="1"/>
      <w:numFmt w:val="bullet"/>
      <w:lvlText w:val=""/>
      <w:lvlJc w:val="left"/>
      <w:pPr>
        <w:ind w:left="720" w:hanging="360"/>
      </w:pPr>
      <w:rPr>
        <w:rFonts w:ascii="Symbol" w:hAnsi="Symbol" w:hint="default"/>
        <w:color w:val="5083C9"/>
      </w:rPr>
    </w:lvl>
    <w:lvl w:ilvl="1" w:tplc="5962912C" w:tentative="1">
      <w:start w:val="1"/>
      <w:numFmt w:val="bullet"/>
      <w:lvlText w:val="o"/>
      <w:lvlJc w:val="left"/>
      <w:pPr>
        <w:ind w:left="1440" w:hanging="360"/>
      </w:pPr>
      <w:rPr>
        <w:rFonts w:ascii="Courier New" w:hAnsi="Courier New" w:cs="Courier New" w:hint="default"/>
      </w:rPr>
    </w:lvl>
    <w:lvl w:ilvl="2" w:tplc="C804C956" w:tentative="1">
      <w:start w:val="1"/>
      <w:numFmt w:val="bullet"/>
      <w:lvlText w:val=""/>
      <w:lvlJc w:val="left"/>
      <w:pPr>
        <w:ind w:left="2160" w:hanging="360"/>
      </w:pPr>
      <w:rPr>
        <w:rFonts w:ascii="Wingdings" w:hAnsi="Wingdings" w:hint="default"/>
      </w:rPr>
    </w:lvl>
    <w:lvl w:ilvl="3" w:tplc="6CC2EE6E" w:tentative="1">
      <w:start w:val="1"/>
      <w:numFmt w:val="bullet"/>
      <w:lvlText w:val=""/>
      <w:lvlJc w:val="left"/>
      <w:pPr>
        <w:ind w:left="2880" w:hanging="360"/>
      </w:pPr>
      <w:rPr>
        <w:rFonts w:ascii="Symbol" w:hAnsi="Symbol" w:hint="default"/>
      </w:rPr>
    </w:lvl>
    <w:lvl w:ilvl="4" w:tplc="8B26A9E6" w:tentative="1">
      <w:start w:val="1"/>
      <w:numFmt w:val="bullet"/>
      <w:lvlText w:val="o"/>
      <w:lvlJc w:val="left"/>
      <w:pPr>
        <w:ind w:left="3600" w:hanging="360"/>
      </w:pPr>
      <w:rPr>
        <w:rFonts w:ascii="Courier New" w:hAnsi="Courier New" w:cs="Courier New" w:hint="default"/>
      </w:rPr>
    </w:lvl>
    <w:lvl w:ilvl="5" w:tplc="5A365398" w:tentative="1">
      <w:start w:val="1"/>
      <w:numFmt w:val="bullet"/>
      <w:lvlText w:val=""/>
      <w:lvlJc w:val="left"/>
      <w:pPr>
        <w:ind w:left="4320" w:hanging="360"/>
      </w:pPr>
      <w:rPr>
        <w:rFonts w:ascii="Wingdings" w:hAnsi="Wingdings" w:hint="default"/>
      </w:rPr>
    </w:lvl>
    <w:lvl w:ilvl="6" w:tplc="479A5126" w:tentative="1">
      <w:start w:val="1"/>
      <w:numFmt w:val="bullet"/>
      <w:lvlText w:val=""/>
      <w:lvlJc w:val="left"/>
      <w:pPr>
        <w:ind w:left="5040" w:hanging="360"/>
      </w:pPr>
      <w:rPr>
        <w:rFonts w:ascii="Symbol" w:hAnsi="Symbol" w:hint="default"/>
      </w:rPr>
    </w:lvl>
    <w:lvl w:ilvl="7" w:tplc="7E68BFB2" w:tentative="1">
      <w:start w:val="1"/>
      <w:numFmt w:val="bullet"/>
      <w:lvlText w:val="o"/>
      <w:lvlJc w:val="left"/>
      <w:pPr>
        <w:ind w:left="5760" w:hanging="360"/>
      </w:pPr>
      <w:rPr>
        <w:rFonts w:ascii="Courier New" w:hAnsi="Courier New" w:cs="Courier New" w:hint="default"/>
      </w:rPr>
    </w:lvl>
    <w:lvl w:ilvl="8" w:tplc="C9B826C6" w:tentative="1">
      <w:start w:val="1"/>
      <w:numFmt w:val="bullet"/>
      <w:lvlText w:val=""/>
      <w:lvlJc w:val="left"/>
      <w:pPr>
        <w:ind w:left="6480" w:hanging="360"/>
      </w:pPr>
      <w:rPr>
        <w:rFonts w:ascii="Wingdings" w:hAnsi="Wingdings" w:hint="default"/>
      </w:rPr>
    </w:lvl>
  </w:abstractNum>
  <w:abstractNum w:abstractNumId="14" w15:restartNumberingAfterBreak="0">
    <w:nsid w:val="7748530C"/>
    <w:multiLevelType w:val="multilevel"/>
    <w:tmpl w:val="B13CDD56"/>
    <w:numStyleLink w:val="BulletedList"/>
  </w:abstractNum>
  <w:num w:numId="1">
    <w:abstractNumId w:val="3"/>
  </w:num>
  <w:num w:numId="2">
    <w:abstractNumId w:val="9"/>
  </w:num>
  <w:num w:numId="3">
    <w:abstractNumId w:val="6"/>
  </w:num>
  <w:num w:numId="4">
    <w:abstractNumId w:val="10"/>
  </w:num>
  <w:num w:numId="5">
    <w:abstractNumId w:val="13"/>
  </w:num>
  <w:num w:numId="6">
    <w:abstractNumId w:val="7"/>
  </w:num>
  <w:num w:numId="7">
    <w:abstractNumId w:val="11"/>
  </w:num>
  <w:num w:numId="8">
    <w:abstractNumId w:val="8"/>
  </w:num>
  <w:num w:numId="9">
    <w:abstractNumId w:val="1"/>
  </w:num>
  <w:num w:numId="10">
    <w:abstractNumId w:val="2"/>
  </w:num>
  <w:num w:numId="11">
    <w:abstractNumId w:val="12"/>
  </w:num>
  <w:num w:numId="12">
    <w:abstractNumId w:val="5"/>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26"/>
    <w:rsid w:val="00001954"/>
    <w:rsid w:val="00022BAB"/>
    <w:rsid w:val="00037A6B"/>
    <w:rsid w:val="00043895"/>
    <w:rsid w:val="00060CCE"/>
    <w:rsid w:val="00090E64"/>
    <w:rsid w:val="000F2585"/>
    <w:rsid w:val="00110963"/>
    <w:rsid w:val="0012162D"/>
    <w:rsid w:val="001251F8"/>
    <w:rsid w:val="00127CA1"/>
    <w:rsid w:val="00132DF3"/>
    <w:rsid w:val="00144E64"/>
    <w:rsid w:val="00150559"/>
    <w:rsid w:val="00171781"/>
    <w:rsid w:val="001725D9"/>
    <w:rsid w:val="0018619B"/>
    <w:rsid w:val="0019007E"/>
    <w:rsid w:val="001A0684"/>
    <w:rsid w:val="001B1A7E"/>
    <w:rsid w:val="001B200A"/>
    <w:rsid w:val="002202E6"/>
    <w:rsid w:val="0024208C"/>
    <w:rsid w:val="0026000D"/>
    <w:rsid w:val="00267C01"/>
    <w:rsid w:val="00277070"/>
    <w:rsid w:val="00282C22"/>
    <w:rsid w:val="002C002A"/>
    <w:rsid w:val="002C76C0"/>
    <w:rsid w:val="002F02F6"/>
    <w:rsid w:val="002F0A3E"/>
    <w:rsid w:val="00306553"/>
    <w:rsid w:val="00314E2F"/>
    <w:rsid w:val="003267EB"/>
    <w:rsid w:val="0035530B"/>
    <w:rsid w:val="0037553A"/>
    <w:rsid w:val="003A6B72"/>
    <w:rsid w:val="003C10A8"/>
    <w:rsid w:val="003F029F"/>
    <w:rsid w:val="0040083C"/>
    <w:rsid w:val="00422541"/>
    <w:rsid w:val="00441851"/>
    <w:rsid w:val="00467D27"/>
    <w:rsid w:val="00485C3A"/>
    <w:rsid w:val="0049654B"/>
    <w:rsid w:val="004967FA"/>
    <w:rsid w:val="004A6937"/>
    <w:rsid w:val="004B125C"/>
    <w:rsid w:val="005019F9"/>
    <w:rsid w:val="00521136"/>
    <w:rsid w:val="00534014"/>
    <w:rsid w:val="005461D2"/>
    <w:rsid w:val="005517E2"/>
    <w:rsid w:val="00574C31"/>
    <w:rsid w:val="00584B55"/>
    <w:rsid w:val="00585290"/>
    <w:rsid w:val="00597E9E"/>
    <w:rsid w:val="005A1F47"/>
    <w:rsid w:val="005C5826"/>
    <w:rsid w:val="005D05D9"/>
    <w:rsid w:val="005E5147"/>
    <w:rsid w:val="005F4596"/>
    <w:rsid w:val="00612FEE"/>
    <w:rsid w:val="00617267"/>
    <w:rsid w:val="0067494A"/>
    <w:rsid w:val="006A407C"/>
    <w:rsid w:val="006A63B4"/>
    <w:rsid w:val="006B2069"/>
    <w:rsid w:val="006C6717"/>
    <w:rsid w:val="00707343"/>
    <w:rsid w:val="007318F0"/>
    <w:rsid w:val="00732BAF"/>
    <w:rsid w:val="00734CE0"/>
    <w:rsid w:val="00755304"/>
    <w:rsid w:val="00765B53"/>
    <w:rsid w:val="00791090"/>
    <w:rsid w:val="007B5200"/>
    <w:rsid w:val="007D1039"/>
    <w:rsid w:val="007D306E"/>
    <w:rsid w:val="007D5EFD"/>
    <w:rsid w:val="007D6B26"/>
    <w:rsid w:val="007F7D78"/>
    <w:rsid w:val="00802FF0"/>
    <w:rsid w:val="00817EEE"/>
    <w:rsid w:val="00826394"/>
    <w:rsid w:val="008377E2"/>
    <w:rsid w:val="00837F1A"/>
    <w:rsid w:val="00844896"/>
    <w:rsid w:val="008763E8"/>
    <w:rsid w:val="00892115"/>
    <w:rsid w:val="008A7E71"/>
    <w:rsid w:val="008B3699"/>
    <w:rsid w:val="008F7B15"/>
    <w:rsid w:val="00926535"/>
    <w:rsid w:val="00943082"/>
    <w:rsid w:val="00946818"/>
    <w:rsid w:val="00947E11"/>
    <w:rsid w:val="00962E99"/>
    <w:rsid w:val="0098636D"/>
    <w:rsid w:val="00993033"/>
    <w:rsid w:val="00994E35"/>
    <w:rsid w:val="009B04C4"/>
    <w:rsid w:val="009D4BB6"/>
    <w:rsid w:val="009E4DC9"/>
    <w:rsid w:val="009F3CA3"/>
    <w:rsid w:val="00A32721"/>
    <w:rsid w:val="00A337BD"/>
    <w:rsid w:val="00A357CD"/>
    <w:rsid w:val="00A35ED0"/>
    <w:rsid w:val="00A42C82"/>
    <w:rsid w:val="00A47C53"/>
    <w:rsid w:val="00A619D3"/>
    <w:rsid w:val="00A8186B"/>
    <w:rsid w:val="00A83C9F"/>
    <w:rsid w:val="00A91D1B"/>
    <w:rsid w:val="00A92A2E"/>
    <w:rsid w:val="00A9581B"/>
    <w:rsid w:val="00AC219B"/>
    <w:rsid w:val="00AC551B"/>
    <w:rsid w:val="00AD0649"/>
    <w:rsid w:val="00B15441"/>
    <w:rsid w:val="00B51EA7"/>
    <w:rsid w:val="00B93371"/>
    <w:rsid w:val="00BA161B"/>
    <w:rsid w:val="00BC26A4"/>
    <w:rsid w:val="00BC79DD"/>
    <w:rsid w:val="00BD76ED"/>
    <w:rsid w:val="00C10371"/>
    <w:rsid w:val="00C11358"/>
    <w:rsid w:val="00C76D3F"/>
    <w:rsid w:val="00C84C66"/>
    <w:rsid w:val="00C87B81"/>
    <w:rsid w:val="00CB1ADE"/>
    <w:rsid w:val="00CB4083"/>
    <w:rsid w:val="00CB781D"/>
    <w:rsid w:val="00CD1E88"/>
    <w:rsid w:val="00CF46AA"/>
    <w:rsid w:val="00CF5E21"/>
    <w:rsid w:val="00D046CF"/>
    <w:rsid w:val="00D2167C"/>
    <w:rsid w:val="00D379D5"/>
    <w:rsid w:val="00D5456E"/>
    <w:rsid w:val="00D576A6"/>
    <w:rsid w:val="00D62BEA"/>
    <w:rsid w:val="00D7321D"/>
    <w:rsid w:val="00D76FCB"/>
    <w:rsid w:val="00D8467E"/>
    <w:rsid w:val="00D93ACB"/>
    <w:rsid w:val="00DB1F96"/>
    <w:rsid w:val="00DB7131"/>
    <w:rsid w:val="00DC3880"/>
    <w:rsid w:val="00DE5BB1"/>
    <w:rsid w:val="00E16E6C"/>
    <w:rsid w:val="00E35483"/>
    <w:rsid w:val="00E375D9"/>
    <w:rsid w:val="00E52110"/>
    <w:rsid w:val="00E6115F"/>
    <w:rsid w:val="00E76B2C"/>
    <w:rsid w:val="00E801CB"/>
    <w:rsid w:val="00E93035"/>
    <w:rsid w:val="00EA13FD"/>
    <w:rsid w:val="00EA2BB6"/>
    <w:rsid w:val="00EA4F90"/>
    <w:rsid w:val="00EC2053"/>
    <w:rsid w:val="00EF7BE8"/>
    <w:rsid w:val="00F31BB9"/>
    <w:rsid w:val="00F3601E"/>
    <w:rsid w:val="00F54A11"/>
    <w:rsid w:val="00FE29B4"/>
    <w:rsid w:val="00FF2183"/>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D2AE"/>
  <w15:chartTrackingRefBased/>
  <w15:docId w15:val="{77DBC63B-FDB7-4E0E-9A6C-61CDA4F7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1A0684"/>
    <w:pPr>
      <w:spacing w:after="120" w:line="228" w:lineRule="auto"/>
    </w:pPr>
    <w:rPr>
      <w:b/>
      <w:color w:val="6F61B0"/>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1A0684"/>
    <w:rPr>
      <w:b/>
      <w:color w:val="6F61B0"/>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A619D3"/>
    <w:pPr>
      <w:numPr>
        <w:numId w:val="3"/>
      </w:numPr>
      <w:tabs>
        <w:tab w:val="left" w:pos="540"/>
      </w:tabs>
      <w:spacing w:after="160"/>
      <w:ind w:left="806" w:hanging="446"/>
      <w:contextualSpacing/>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A619D3"/>
    <w:pPr>
      <w:numPr>
        <w:numId w:val="4"/>
      </w:numPr>
      <w:ind w:left="806" w:hanging="446"/>
    </w:pPr>
  </w:style>
  <w:style w:type="character" w:customStyle="1" w:styleId="CheckboxChar">
    <w:name w:val="Checkbox Char"/>
    <w:basedOn w:val="BulletListChar"/>
    <w:link w:val="Checkbox"/>
    <w:rsid w:val="00A619D3"/>
    <w:rPr>
      <w:rFonts w:ascii="Calibri" w:eastAsia="Times New Roman" w:hAnsi="Calibri" w:cs="Arial"/>
      <w:color w:val="595959"/>
      <w:szCs w:val="20"/>
    </w:rPr>
  </w:style>
  <w:style w:type="paragraph" w:customStyle="1" w:styleId="CallOutBox">
    <w:name w:val="Call Out Box"/>
    <w:basedOn w:val="Footer"/>
    <w:link w:val="CallOutBoxChar"/>
    <w:qFormat/>
    <w:rsid w:val="00A32721"/>
    <w:pPr>
      <w:jc w:val="center"/>
    </w:pPr>
    <w:rPr>
      <w:b/>
      <w:i/>
      <w:color w:val="6F61B0"/>
      <w:sz w:val="36"/>
      <w:szCs w:val="36"/>
    </w:rPr>
  </w:style>
  <w:style w:type="character" w:customStyle="1" w:styleId="XboxChar">
    <w:name w:val="Xbox Char"/>
    <w:basedOn w:val="CheckboxChar"/>
    <w:link w:val="Xbox"/>
    <w:rsid w:val="00A619D3"/>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A32721"/>
    <w:rPr>
      <w:b/>
      <w:i/>
      <w:color w:val="6F61B0"/>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A619D3"/>
    <w:pPr>
      <w:numPr>
        <w:numId w:val="15"/>
      </w:numPr>
      <w:spacing w:line="240" w:lineRule="auto"/>
      <w:ind w:right="274"/>
      <w:contextualSpacing/>
    </w:pPr>
  </w:style>
  <w:style w:type="character" w:customStyle="1" w:styleId="BulletListTextChar">
    <w:name w:val="Bullet List Text Char"/>
    <w:basedOn w:val="BodyTextChar"/>
    <w:link w:val="BulletListText"/>
    <w:rsid w:val="00A619D3"/>
    <w:rPr>
      <w:rFonts w:ascii="Calibri" w:eastAsia="Times New Roman" w:hAnsi="Calibri" w:cs="Arial"/>
      <w:color w:val="595959"/>
      <w:szCs w:val="20"/>
    </w:rPr>
  </w:style>
  <w:style w:type="character" w:styleId="Hyperlink">
    <w:name w:val="Hyperlink"/>
    <w:basedOn w:val="DefaultParagraphFont"/>
    <w:uiPriority w:val="99"/>
    <w:unhideWhenUsed/>
    <w:rsid w:val="00521136"/>
    <w:rPr>
      <w:color w:val="0563C1" w:themeColor="hyperlink"/>
      <w:u w:val="single"/>
    </w:rPr>
  </w:style>
  <w:style w:type="character" w:customStyle="1" w:styleId="UnresolvedMention1">
    <w:name w:val="Unresolved Mention1"/>
    <w:basedOn w:val="DefaultParagraphFont"/>
    <w:uiPriority w:val="99"/>
    <w:semiHidden/>
    <w:unhideWhenUsed/>
    <w:rsid w:val="00521136"/>
    <w:rPr>
      <w:color w:val="605E5C"/>
      <w:shd w:val="clear" w:color="auto" w:fill="E1DFDD"/>
    </w:rPr>
  </w:style>
  <w:style w:type="character" w:styleId="FollowedHyperlink">
    <w:name w:val="FollowedHyperlink"/>
    <w:basedOn w:val="DefaultParagraphFont"/>
    <w:uiPriority w:val="99"/>
    <w:semiHidden/>
    <w:unhideWhenUsed/>
    <w:rsid w:val="0067494A"/>
    <w:rPr>
      <w:color w:val="954F72" w:themeColor="followedHyperlink"/>
      <w:u w:val="single"/>
    </w:rPr>
  </w:style>
  <w:style w:type="character" w:styleId="CommentReference">
    <w:name w:val="annotation reference"/>
    <w:basedOn w:val="DefaultParagraphFont"/>
    <w:uiPriority w:val="99"/>
    <w:semiHidden/>
    <w:unhideWhenUsed/>
    <w:rsid w:val="00597E9E"/>
    <w:rPr>
      <w:sz w:val="16"/>
      <w:szCs w:val="16"/>
    </w:rPr>
  </w:style>
  <w:style w:type="paragraph" w:styleId="CommentText">
    <w:name w:val="annotation text"/>
    <w:basedOn w:val="Normal"/>
    <w:link w:val="CommentTextChar"/>
    <w:uiPriority w:val="99"/>
    <w:semiHidden/>
    <w:unhideWhenUsed/>
    <w:rsid w:val="00597E9E"/>
    <w:pPr>
      <w:spacing w:line="240" w:lineRule="auto"/>
    </w:pPr>
    <w:rPr>
      <w:sz w:val="20"/>
      <w:szCs w:val="20"/>
    </w:rPr>
  </w:style>
  <w:style w:type="character" w:customStyle="1" w:styleId="CommentTextChar">
    <w:name w:val="Comment Text Char"/>
    <w:basedOn w:val="DefaultParagraphFont"/>
    <w:link w:val="CommentText"/>
    <w:uiPriority w:val="99"/>
    <w:semiHidden/>
    <w:rsid w:val="00597E9E"/>
    <w:rPr>
      <w:sz w:val="20"/>
      <w:szCs w:val="20"/>
    </w:rPr>
  </w:style>
  <w:style w:type="paragraph" w:styleId="CommentSubject">
    <w:name w:val="annotation subject"/>
    <w:basedOn w:val="CommentText"/>
    <w:next w:val="CommentText"/>
    <w:link w:val="CommentSubjectChar"/>
    <w:uiPriority w:val="99"/>
    <w:semiHidden/>
    <w:unhideWhenUsed/>
    <w:rsid w:val="00597E9E"/>
    <w:rPr>
      <w:b/>
      <w:bCs/>
    </w:rPr>
  </w:style>
  <w:style w:type="character" w:customStyle="1" w:styleId="CommentSubjectChar">
    <w:name w:val="Comment Subject Char"/>
    <w:basedOn w:val="CommentTextChar"/>
    <w:link w:val="CommentSubject"/>
    <w:uiPriority w:val="99"/>
    <w:semiHidden/>
    <w:rsid w:val="00597E9E"/>
    <w:rPr>
      <w:b/>
      <w:bCs/>
      <w:sz w:val="20"/>
      <w:szCs w:val="20"/>
    </w:rPr>
  </w:style>
  <w:style w:type="paragraph" w:styleId="BalloonText">
    <w:name w:val="Balloon Text"/>
    <w:basedOn w:val="Normal"/>
    <w:link w:val="BalloonTextChar"/>
    <w:uiPriority w:val="99"/>
    <w:semiHidden/>
    <w:unhideWhenUsed/>
    <w:rsid w:val="00597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ol.gov/agencies/whd/pandemi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dol.gov/agencies/whd/pandemic/ffcra-questions"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Legal%20Content\2020%20Compliance%20Docs%20Redesign\Compliance%20Bulletin\Portrait\HR_Compliance%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HR_Compliance Bulletin</Template>
  <TotalTime>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Margerie, Erin</dc:creator>
  <cp:lastModifiedBy>Judy Kamens</cp:lastModifiedBy>
  <cp:revision>2</cp:revision>
  <dcterms:created xsi:type="dcterms:W3CDTF">2020-03-31T14:45:00Z</dcterms:created>
  <dcterms:modified xsi:type="dcterms:W3CDTF">2020-03-31T14:45:00Z</dcterms:modified>
</cp:coreProperties>
</file>