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000D" w:rsidRPr="00965752" w:rsidRDefault="002124F8" w:rsidP="00763768">
      <w:pPr>
        <w:pStyle w:val="MainTitle"/>
        <w:spacing w:line="204" w:lineRule="auto"/>
      </w:pPr>
      <w:bookmarkStart w:id="0" w:name="_GoBack"/>
      <w:bookmarkEnd w:id="0"/>
      <w:r>
        <w:rPr>
          <w:noProof/>
        </w:rPr>
        <w:drawing>
          <wp:anchor distT="0" distB="0" distL="114300" distR="114300" simplePos="0" relativeHeight="251658240" behindDoc="0" locked="1" layoutInCell="1" allowOverlap="1">
            <wp:simplePos x="0" y="0"/>
            <wp:positionH relativeFrom="margin">
              <wp:posOffset>5080000</wp:posOffset>
            </wp:positionH>
            <wp:positionV relativeFrom="margin">
              <wp:posOffset>5969000</wp:posOffset>
            </wp:positionV>
            <wp:extent cx="1645923" cy="1120142"/>
            <wp:effectExtent l="0" t="0" r="0" b="0"/>
            <wp:wrapNone/>
            <wp:docPr id="100038" name="Picture 100038"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49484" name=""/>
                    <pic:cNvPicPr>
                      <a:picLocks noChangeAspect="1"/>
                    </pic:cNvPicPr>
                  </pic:nvPicPr>
                  <pic:blipFill>
                    <a:blip r:embed="rId8"/>
                    <a:stretch>
                      <a:fillRect/>
                    </a:stretch>
                  </pic:blipFill>
                  <pic:spPr>
                    <a:xfrm>
                      <a:off x="0" y="0"/>
                      <a:ext cx="1645923" cy="1120142"/>
                    </a:xfrm>
                    <a:prstGeom prst="rect">
                      <a:avLst/>
                    </a:prstGeom>
                  </pic:spPr>
                </pic:pic>
              </a:graphicData>
            </a:graphic>
          </wp:anchor>
        </w:drawing>
      </w:r>
      <w:r w:rsidR="0059040A" w:rsidRPr="00757D67">
        <w:rPr>
          <w:b w:val="0"/>
          <w:noProof/>
        </w:rPr>
        <mc:AlternateContent>
          <mc:Choice Requires="wps">
            <w:drawing>
              <wp:anchor distT="45720" distB="45720" distL="114300" distR="114300" simplePos="0" relativeHeight="251659264" behindDoc="0" locked="0" layoutInCell="1" allowOverlap="1">
                <wp:simplePos x="0" y="0"/>
                <wp:positionH relativeFrom="column">
                  <wp:posOffset>4559300</wp:posOffset>
                </wp:positionH>
                <wp:positionV relativeFrom="page">
                  <wp:posOffset>2870200</wp:posOffset>
                </wp:positionV>
                <wp:extent cx="2483485" cy="30511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3485" cy="3051175"/>
                        </a:xfrm>
                        <a:prstGeom prst="rect">
                          <a:avLst/>
                        </a:prstGeom>
                        <a:noFill/>
                        <a:ln w="9525">
                          <a:noFill/>
                          <a:miter lim="800000"/>
                          <a:headEnd/>
                          <a:tailEnd/>
                        </a:ln>
                      </wps:spPr>
                      <wps:txbx>
                        <w:txbxContent>
                          <w:p w:rsidR="004D3638" w:rsidRDefault="0059040A" w:rsidP="00763768">
                            <w:pPr>
                              <w:pStyle w:val="BulletListText"/>
                              <w:spacing w:after="120"/>
                              <w:contextualSpacing w:val="0"/>
                            </w:pPr>
                            <w:r>
                              <w:t>C</w:t>
                            </w:r>
                            <w:r w:rsidR="00F16DB7">
                              <w:t>oronavirus relief l</w:t>
                            </w:r>
                            <w:r>
                              <w:t>egislation</w:t>
                            </w:r>
                            <w:r w:rsidR="00F16DB7">
                              <w:t xml:space="preserve"> requires employers with fewer than 500 employees to provide 12 weeks of FMLA leave for child care reasons related to COVID-19. </w:t>
                            </w:r>
                          </w:p>
                          <w:p w:rsidR="004D3638" w:rsidRDefault="0059040A" w:rsidP="00763768">
                            <w:pPr>
                              <w:pStyle w:val="BulletListText"/>
                              <w:spacing w:after="120"/>
                              <w:contextualSpacing w:val="0"/>
                            </w:pPr>
                            <w:r>
                              <w:t xml:space="preserve">The new FMLA leave must be compensated </w:t>
                            </w:r>
                            <w:r w:rsidR="006116F8">
                              <w:t>after the first 10 days</w:t>
                            </w:r>
                            <w:r w:rsidR="00906550">
                              <w:t>,</w:t>
                            </w:r>
                            <w:r w:rsidR="006116F8">
                              <w:t xml:space="preserve"> </w:t>
                            </w:r>
                            <w:r>
                              <w:t xml:space="preserve">at two-thirds of an employee’s </w:t>
                            </w:r>
                            <w:r w:rsidR="006116F8">
                              <w:t>wage</w:t>
                            </w:r>
                            <w:r>
                              <w:t xml:space="preserve">, up to $200 per day. </w:t>
                            </w:r>
                          </w:p>
                          <w:p w:rsidR="00F16DB7" w:rsidRDefault="0059040A" w:rsidP="00763768">
                            <w:pPr>
                              <w:pStyle w:val="BulletListText"/>
                            </w:pPr>
                            <w:r w:rsidRPr="00763768">
                              <w:t>Emplo</w:t>
                            </w:r>
                            <w:r w:rsidRPr="00763768">
                              <w:t>yers</w:t>
                            </w:r>
                            <w:r>
                              <w:t xml:space="preserve"> must also provide 80 hours of paid sick time for specified reasons related to COVID-19.</w:t>
                            </w:r>
                          </w:p>
                          <w:p w:rsidR="00F16DB7" w:rsidRDefault="00F16DB7" w:rsidP="00D046CF">
                            <w:pPr>
                              <w:pStyle w:val="BodyText"/>
                              <w:tabs>
                                <w:tab w:val="left" w:pos="1440"/>
                              </w:tabs>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195.55pt;height:240.25pt;margin-top:226pt;margin-left:359pt;mso-height-percent:0;mso-height-relative:margin;mso-position-vertical-relative:page;mso-width-percent:0;mso-width-relative:margin;mso-wrap-distance-bottom:3.6pt;mso-wrap-distance-left:9pt;mso-wrap-distance-right:9pt;mso-wrap-distance-top:3.6pt;mso-wrap-style:square;position:absolute;visibility:visible;v-text-anchor:top;z-index:251660288" filled="f" stroked="f">
                <v:textbox>
                  <w:txbxContent>
                    <w:p w:rsidR="004D3638" w:rsidP="00763768">
                      <w:pPr>
                        <w:pStyle w:val="BulletListText"/>
                        <w:spacing w:after="120"/>
                        <w:contextualSpacing w:val="0"/>
                      </w:pPr>
                      <w:r>
                        <w:t>C</w:t>
                      </w:r>
                      <w:r w:rsidR="00F16DB7">
                        <w:t>oronavirus relief l</w:t>
                      </w:r>
                      <w:r>
                        <w:t>egislation</w:t>
                      </w:r>
                      <w:r w:rsidR="00F16DB7">
                        <w:t xml:space="preserve"> requires employers with fewer than 500 employees to provide 12 weeks of FMLA leave for child care reasons related to COVID-19. </w:t>
                      </w:r>
                    </w:p>
                    <w:p w:rsidR="004D3638" w:rsidP="00763768">
                      <w:pPr>
                        <w:pStyle w:val="BulletListText"/>
                        <w:spacing w:after="120"/>
                        <w:contextualSpacing w:val="0"/>
                      </w:pPr>
                      <w:r>
                        <w:t xml:space="preserve">The new FMLA leave must be compensated </w:t>
                      </w:r>
                      <w:r w:rsidR="006116F8">
                        <w:t>after the first 10 days</w:t>
                      </w:r>
                      <w:r w:rsidR="00906550">
                        <w:t>,</w:t>
                      </w:r>
                      <w:r w:rsidR="006116F8">
                        <w:t xml:space="preserve"> </w:t>
                      </w:r>
                      <w:r>
                        <w:t xml:space="preserve">at two-thirds of an employee’s </w:t>
                      </w:r>
                      <w:r w:rsidR="006116F8">
                        <w:t>wage</w:t>
                      </w:r>
                      <w:r>
                        <w:t xml:space="preserve">, up to $200 per day. </w:t>
                      </w:r>
                    </w:p>
                    <w:p w:rsidR="00F16DB7" w:rsidP="00763768">
                      <w:pPr>
                        <w:pStyle w:val="BulletListText"/>
                      </w:pPr>
                      <w:r w:rsidRPr="00763768">
                        <w:t>Employers</w:t>
                      </w:r>
                      <w:r>
                        <w:t xml:space="preserve"> must also provide 80 hours of paid sick time for specified reasons related to COVID-19.</w:t>
                      </w:r>
                    </w:p>
                    <w:p w:rsidR="00F16DB7" w:rsidP="00D046CF">
                      <w:pPr>
                        <w:pStyle w:val="BodyText"/>
                        <w:tabs>
                          <w:tab w:val="left" w:pos="1440"/>
                        </w:tabs>
                      </w:pPr>
                    </w:p>
                  </w:txbxContent>
                </v:textbox>
                <w10:wrap type="square"/>
              </v:shape>
            </w:pict>
          </mc:Fallback>
        </mc:AlternateContent>
      </w:r>
      <w:r>
        <w:t>Families First Coronavirus Response Act</w:t>
      </w:r>
      <w:r w:rsidR="00A97C1E">
        <w:t xml:space="preserve"> Require</w:t>
      </w:r>
      <w:r w:rsidR="00AB20DF">
        <w:t>s</w:t>
      </w:r>
      <w:r w:rsidR="00A97C1E">
        <w:t xml:space="preserve"> Paid Employee Leave</w:t>
      </w:r>
      <w:r w:rsidR="00A97C1E" w:rsidRPr="00757D67">
        <w:rPr>
          <w:b w:val="0"/>
          <w:noProof/>
        </w:rPr>
        <w:t xml:space="preserve"> </w:t>
      </w:r>
      <w:r w:rsidR="00E52110" w:rsidRPr="00757D67">
        <w:rPr>
          <w:b w:val="0"/>
          <w:noProof/>
        </w:rPr>
        <mc:AlternateContent>
          <mc:Choice Requires="wpg">
            <w:drawing>
              <wp:anchor distT="0" distB="0" distL="114300" distR="114300" simplePos="0" relativeHeight="251667456" behindDoc="0" locked="0" layoutInCell="1" allowOverlap="1">
                <wp:simplePos x="0" y="0"/>
                <wp:positionH relativeFrom="column">
                  <wp:posOffset>4419600</wp:posOffset>
                </wp:positionH>
                <wp:positionV relativeFrom="page">
                  <wp:posOffset>5911215</wp:posOffset>
                </wp:positionV>
                <wp:extent cx="3331845" cy="367030"/>
                <wp:effectExtent l="0" t="0" r="1905" b="0"/>
                <wp:wrapNone/>
                <wp:docPr id="42" name="Group 42"/>
                <wp:cNvGraphicFramePr/>
                <a:graphic xmlns:a="http://schemas.openxmlformats.org/drawingml/2006/main">
                  <a:graphicData uri="http://schemas.microsoft.com/office/word/2010/wordprocessingGroup">
                    <wpg:wgp>
                      <wpg:cNvGrpSpPr/>
                      <wpg:grpSpPr>
                        <a:xfrm>
                          <a:off x="0" y="0"/>
                          <a:ext cx="3324242" cy="367029"/>
                          <a:chOff x="3801" y="0"/>
                          <a:chExt cx="3324242" cy="367029"/>
                        </a:xfrm>
                      </wpg:grpSpPr>
                      <pic:pic xmlns:pic="http://schemas.openxmlformats.org/drawingml/2006/picture">
                        <pic:nvPicPr>
                          <pic:cNvPr id="40" name="Picture 4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3801" y="0"/>
                            <a:ext cx="3324242" cy="367029"/>
                          </a:xfrm>
                          <a:prstGeom prst="rect">
                            <a:avLst/>
                          </a:prstGeom>
                        </pic:spPr>
                      </pic:pic>
                      <wps:wsp>
                        <wps:cNvPr id="41" name="Text Box 41"/>
                        <wps:cNvSpPr txBox="1">
                          <a:spLocks noChangeArrowheads="1"/>
                        </wps:cNvSpPr>
                        <wps:spPr bwMode="auto">
                          <a:xfrm>
                            <a:off x="123290" y="20549"/>
                            <a:ext cx="2413000" cy="329565"/>
                          </a:xfrm>
                          <a:prstGeom prst="rect">
                            <a:avLst/>
                          </a:prstGeom>
                          <a:noFill/>
                          <a:ln w="9525">
                            <a:noFill/>
                            <a:miter lim="800000"/>
                            <a:headEnd/>
                            <a:tailEnd/>
                          </a:ln>
                        </wps:spPr>
                        <wps:txbx>
                          <w:txbxContent>
                            <w:p w:rsidR="00F16DB7" w:rsidRPr="00A8186B" w:rsidRDefault="0059040A" w:rsidP="00E375D9">
                              <w:pPr>
                                <w:pStyle w:val="SubHeader"/>
                                <w:rPr>
                                  <w:color w:val="FFFFFF" w:themeColor="background1"/>
                                  <w:sz w:val="32"/>
                                  <w:szCs w:val="32"/>
                                </w:rPr>
                              </w:pPr>
                              <w:r>
                                <w:rPr>
                                  <w:color w:val="FFFFFF" w:themeColor="background1"/>
                                  <w:sz w:val="32"/>
                                  <w:szCs w:val="32"/>
                                </w:rPr>
                                <w:t>Resources</w:t>
                              </w:r>
                              <w:r w:rsidR="00EA6DFF">
                                <w:rPr>
                                  <w:color w:val="FFFFFF" w:themeColor="background1"/>
                                  <w:sz w:val="32"/>
                                  <w:szCs w:val="32"/>
                                </w:rPr>
                                <w:t xml:space="preserve"> and Links</w:t>
                              </w:r>
                            </w:p>
                          </w:txbxContent>
                        </wps:txbx>
                        <wps:bodyPr rot="0" vert="horz" wrap="square" anchor="t" anchorCtr="0"/>
                      </wps:wsp>
                    </wpg:wgp>
                  </a:graphicData>
                </a:graphic>
              </wp:anchor>
            </w:drawing>
          </mc:Choice>
          <mc:Fallback>
            <w:pict>
              <v:group id="Group 42" o:spid="_x0000_s1026" style="width:262.35pt;height:28.9pt;margin-top:465.45pt;margin-left:348pt;mso-position-vertical-relative:page;position:absolute;z-index:251668480" coordorigin="38,0" coordsize="33242,3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 o:spid="_x0000_s1027" type="#_x0000_t75" style="width:33242;height:3670;left:38;mso-wrap-style:square;position:absolute;visibility:visible">
                  <v:imagedata r:id="rId10" o:title=""/>
                </v:shape>
                <v:shape id="Text Box 41" o:spid="_x0000_s1028" type="#_x0000_t202" style="width:24130;height:3296;left:1232;mso-wrap-style:square;position:absolute;top:205;visibility:visible;v-text-anchor:top" filled="f" stroked="f">
                  <v:textbox>
                    <w:txbxContent>
                      <w:p w:rsidR="00F16DB7" w:rsidRPr="00A8186B" w:rsidP="00E375D9">
                        <w:pPr>
                          <w:pStyle w:val="SubHeader"/>
                          <w:rPr>
                            <w:color w:val="FFFFFF" w:themeColor="background1"/>
                            <w:sz w:val="32"/>
                            <w:szCs w:val="32"/>
                          </w:rPr>
                        </w:pPr>
                        <w:r>
                          <w:rPr>
                            <w:color w:val="FFFFFF" w:themeColor="background1"/>
                            <w:sz w:val="32"/>
                            <w:szCs w:val="32"/>
                          </w:rPr>
                          <w:t>Resources</w:t>
                        </w:r>
                        <w:r w:rsidR="00EA6DFF">
                          <w:rPr>
                            <w:color w:val="FFFFFF" w:themeColor="background1"/>
                            <w:sz w:val="32"/>
                            <w:szCs w:val="32"/>
                          </w:rPr>
                          <w:t xml:space="preserve"> and Links</w:t>
                        </w:r>
                      </w:p>
                    </w:txbxContent>
                  </v:textbox>
                </v:shape>
              </v:group>
            </w:pict>
          </mc:Fallback>
        </mc:AlternateContent>
      </w:r>
      <w:r w:rsidR="0019007E" w:rsidRPr="00757D67">
        <w:rPr>
          <w:b w:val="0"/>
          <w:noProof/>
        </w:rPr>
        <mc:AlternateContent>
          <mc:Choice Requires="wpg">
            <w:drawing>
              <wp:anchor distT="0" distB="0" distL="114300" distR="114300" simplePos="0" relativeHeight="251665408" behindDoc="0" locked="0" layoutInCell="1" allowOverlap="1">
                <wp:simplePos x="0" y="0"/>
                <wp:positionH relativeFrom="column">
                  <wp:posOffset>4423025</wp:posOffset>
                </wp:positionH>
                <wp:positionV relativeFrom="page">
                  <wp:posOffset>2506345</wp:posOffset>
                </wp:positionV>
                <wp:extent cx="3331845" cy="367030"/>
                <wp:effectExtent l="0" t="0" r="1905" b="0"/>
                <wp:wrapNone/>
                <wp:docPr id="39" name="Group 39"/>
                <wp:cNvGraphicFramePr/>
                <a:graphic xmlns:a="http://schemas.openxmlformats.org/drawingml/2006/main">
                  <a:graphicData uri="http://schemas.microsoft.com/office/word/2010/wordprocessingGroup">
                    <wpg:wgp>
                      <wpg:cNvGrpSpPr/>
                      <wpg:grpSpPr>
                        <a:xfrm>
                          <a:off x="0" y="0"/>
                          <a:ext cx="3324242" cy="367029"/>
                          <a:chOff x="3801" y="0"/>
                          <a:chExt cx="3324242" cy="367029"/>
                        </a:xfrm>
                      </wpg:grpSpPr>
                      <pic:pic xmlns:pic="http://schemas.openxmlformats.org/drawingml/2006/picture">
                        <pic:nvPicPr>
                          <pic:cNvPr id="37" name="Picture 37"/>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3801" y="0"/>
                            <a:ext cx="3324242" cy="367029"/>
                          </a:xfrm>
                          <a:prstGeom prst="rect">
                            <a:avLst/>
                          </a:prstGeom>
                        </pic:spPr>
                      </pic:pic>
                      <wps:wsp>
                        <wps:cNvPr id="203156138" name="Text Box 2"/>
                        <wps:cNvSpPr txBox="1">
                          <a:spLocks noChangeArrowheads="1"/>
                        </wps:cNvSpPr>
                        <wps:spPr bwMode="auto">
                          <a:xfrm>
                            <a:off x="123290" y="20549"/>
                            <a:ext cx="2413000" cy="329565"/>
                          </a:xfrm>
                          <a:prstGeom prst="rect">
                            <a:avLst/>
                          </a:prstGeom>
                          <a:noFill/>
                          <a:ln w="9525">
                            <a:noFill/>
                            <a:miter lim="800000"/>
                            <a:headEnd/>
                            <a:tailEnd/>
                          </a:ln>
                        </wps:spPr>
                        <wps:txbx>
                          <w:txbxContent>
                            <w:p w:rsidR="00F16DB7" w:rsidRPr="00A8186B" w:rsidRDefault="0059040A" w:rsidP="00E375D9">
                              <w:pPr>
                                <w:pStyle w:val="SubHeader"/>
                                <w:rPr>
                                  <w:color w:val="FFFFFF" w:themeColor="background1"/>
                                  <w:sz w:val="32"/>
                                  <w:szCs w:val="32"/>
                                </w:rPr>
                              </w:pPr>
                              <w:r>
                                <w:rPr>
                                  <w:color w:val="FFFFFF" w:themeColor="background1"/>
                                  <w:sz w:val="32"/>
                                  <w:szCs w:val="32"/>
                                </w:rPr>
                                <w:t>Highlights</w:t>
                              </w:r>
                            </w:p>
                          </w:txbxContent>
                        </wps:txbx>
                        <wps:bodyPr rot="0" vert="horz" wrap="square" anchor="t" anchorCtr="0"/>
                      </wps:wsp>
                    </wpg:wgp>
                  </a:graphicData>
                </a:graphic>
              </wp:anchor>
            </w:drawing>
          </mc:Choice>
          <mc:Fallback>
            <w:pict>
              <v:group id="Group 39" o:spid="_x0000_s1029" style="width:262.35pt;height:28.9pt;margin-top:197.35pt;margin-left:348.25pt;mso-position-vertical-relative:page;position:absolute;z-index:251666432" coordorigin="38,0" coordsize="33242,3670">
                <v:shape id="Picture 37" o:spid="_x0000_s1030" type="#_x0000_t75" style="width:33242;height:3670;left:38;mso-wrap-style:square;position:absolute;visibility:visible">
                  <v:imagedata r:id="rId10" o:title=""/>
                </v:shape>
                <v:shape id="_x0000_s1031" type="#_x0000_t202" style="width:24130;height:3296;left:1232;mso-wrap-style:square;position:absolute;top:205;visibility:visible;v-text-anchor:top" filled="f" stroked="f">
                  <v:textbox>
                    <w:txbxContent>
                      <w:p w:rsidR="00F16DB7" w:rsidRPr="00A8186B" w:rsidP="00E375D9">
                        <w:pPr>
                          <w:pStyle w:val="SubHeader"/>
                          <w:rPr>
                            <w:color w:val="FFFFFF" w:themeColor="background1"/>
                            <w:sz w:val="32"/>
                            <w:szCs w:val="32"/>
                          </w:rPr>
                        </w:pPr>
                        <w:r>
                          <w:rPr>
                            <w:color w:val="FFFFFF" w:themeColor="background1"/>
                            <w:sz w:val="32"/>
                            <w:szCs w:val="32"/>
                          </w:rPr>
                          <w:t>Highlights</w:t>
                        </w:r>
                      </w:p>
                    </w:txbxContent>
                  </v:textbox>
                </v:shape>
              </v:group>
            </w:pict>
          </mc:Fallback>
        </mc:AlternateContent>
      </w:r>
    </w:p>
    <w:p w:rsidR="006D5640" w:rsidRDefault="0059040A" w:rsidP="00763768">
      <w:pPr>
        <w:pStyle w:val="BodyText"/>
        <w:spacing w:after="120"/>
        <w:ind w:right="274"/>
      </w:pPr>
      <w:r>
        <w:t>As part of</w:t>
      </w:r>
      <w:r w:rsidR="007771A2">
        <w:t xml:space="preserve"> the</w:t>
      </w:r>
      <w:r w:rsidR="00336B2E">
        <w:rPr>
          <w:rStyle w:val="Hyperlink"/>
        </w:rPr>
        <w:t xml:space="preserve"> </w:t>
      </w:r>
      <w:hyperlink r:id="rId11" w:history="1">
        <w:r w:rsidR="00336B2E" w:rsidRPr="005F7243">
          <w:rPr>
            <w:rStyle w:val="Hyperlink"/>
          </w:rPr>
          <w:t>Families First Coronavirus Response Act</w:t>
        </w:r>
      </w:hyperlink>
      <w:r w:rsidR="005F7243">
        <w:t xml:space="preserve"> </w:t>
      </w:r>
      <w:r w:rsidR="009E2C40">
        <w:t>signed into law by President Trump on March</w:t>
      </w:r>
      <w:r>
        <w:t xml:space="preserve"> 18</w:t>
      </w:r>
      <w:r w:rsidR="009E2C40">
        <w:t xml:space="preserve">, 2020, </w:t>
      </w:r>
      <w:r>
        <w:t xml:space="preserve">two laws were enacted that </w:t>
      </w:r>
      <w:r w:rsidR="00F80D15">
        <w:t xml:space="preserve">provide </w:t>
      </w:r>
      <w:r w:rsidR="006E560E">
        <w:t>workers with</w:t>
      </w:r>
      <w:r w:rsidR="008D0075">
        <w:t xml:space="preserve"> </w:t>
      </w:r>
      <w:r w:rsidR="009E2C40">
        <w:t>paid leave</w:t>
      </w:r>
      <w:r w:rsidR="00E75B38">
        <w:t xml:space="preserve"> for reasons related to the coronavirus </w:t>
      </w:r>
      <w:r w:rsidR="00913ADC">
        <w:t xml:space="preserve">(COVID-19) </w:t>
      </w:r>
      <w:r w:rsidR="00E75B38">
        <w:t>pandemic</w:t>
      </w:r>
      <w:r>
        <w:t>. One of the</w:t>
      </w:r>
      <w:r w:rsidR="00F80D15">
        <w:t xml:space="preserve"> new </w:t>
      </w:r>
      <w:r>
        <w:t xml:space="preserve">leave </w:t>
      </w:r>
      <w:r w:rsidR="00BB0213">
        <w:t>laws</w:t>
      </w:r>
      <w:r>
        <w:t xml:space="preserve">, </w:t>
      </w:r>
      <w:bookmarkStart w:id="1" w:name="_Hlk35511769"/>
      <w:r>
        <w:t>the Emergency Family and Medical Leave Expansion Act,</w:t>
      </w:r>
      <w:bookmarkEnd w:id="1"/>
      <w:r>
        <w:t xml:space="preserve"> </w:t>
      </w:r>
      <w:r w:rsidR="00F80D15">
        <w:t>allow</w:t>
      </w:r>
      <w:r>
        <w:t>s</w:t>
      </w:r>
      <w:r w:rsidR="00F80D15">
        <w:t xml:space="preserve"> </w:t>
      </w:r>
      <w:r w:rsidR="00F80D15" w:rsidRPr="00A2693F">
        <w:rPr>
          <w:b/>
        </w:rPr>
        <w:t>12 weeks</w:t>
      </w:r>
      <w:r w:rsidR="00F80D15">
        <w:t xml:space="preserve"> of </w:t>
      </w:r>
      <w:r w:rsidR="00691241" w:rsidRPr="00A2693F">
        <w:rPr>
          <w:b/>
        </w:rPr>
        <w:t>pa</w:t>
      </w:r>
      <w:r w:rsidR="008D0075" w:rsidRPr="00A2693F">
        <w:rPr>
          <w:b/>
        </w:rPr>
        <w:t xml:space="preserve">rtially compensated </w:t>
      </w:r>
      <w:r w:rsidR="00F80D15" w:rsidRPr="00A2693F">
        <w:rPr>
          <w:b/>
        </w:rPr>
        <w:t>FMLA leave</w:t>
      </w:r>
      <w:r w:rsidR="00F80D15">
        <w:t xml:space="preserve"> </w:t>
      </w:r>
      <w:r w:rsidR="0049373A">
        <w:t>to care for a child whose school or child care facility has been closed due to COVID-19.</w:t>
      </w:r>
      <w:r w:rsidR="009E2C40">
        <w:t xml:space="preserve"> </w:t>
      </w:r>
      <w:r>
        <w:t>The leave applies only to workers</w:t>
      </w:r>
      <w:r w:rsidR="00912B86">
        <w:t xml:space="preserve"> </w:t>
      </w:r>
      <w:r w:rsidR="00944C97">
        <w:t xml:space="preserve">who have been </w:t>
      </w:r>
      <w:r w:rsidR="00912B86">
        <w:t>employed by</w:t>
      </w:r>
      <w:r w:rsidR="008D0075">
        <w:t xml:space="preserve"> their current employer for </w:t>
      </w:r>
      <w:r>
        <w:t>30 day</w:t>
      </w:r>
      <w:r w:rsidR="008D0075">
        <w:t>s.</w:t>
      </w:r>
    </w:p>
    <w:p w:rsidR="00852703" w:rsidRDefault="0059040A" w:rsidP="00763768">
      <w:pPr>
        <w:pStyle w:val="BodyText"/>
        <w:spacing w:after="120"/>
        <w:ind w:right="274"/>
      </w:pPr>
      <w:r>
        <w:t>The other</w:t>
      </w:r>
      <w:r w:rsidR="00F73ED3">
        <w:t xml:space="preserve"> new law providing employee leave,</w:t>
      </w:r>
      <w:r>
        <w:t xml:space="preserve"> </w:t>
      </w:r>
      <w:bookmarkStart w:id="2" w:name="_Hlk35511851"/>
      <w:r>
        <w:t>the Emergency Paid Sick Leave Act,</w:t>
      </w:r>
      <w:bookmarkEnd w:id="2"/>
      <w:r>
        <w:t xml:space="preserve"> requires employers to provide </w:t>
      </w:r>
      <w:r w:rsidRPr="00A2693F">
        <w:rPr>
          <w:b/>
        </w:rPr>
        <w:t>80 hours</w:t>
      </w:r>
      <w:r>
        <w:t xml:space="preserve"> of </w:t>
      </w:r>
      <w:r w:rsidRPr="00A2693F">
        <w:rPr>
          <w:b/>
        </w:rPr>
        <w:t>paid sick time</w:t>
      </w:r>
      <w:r>
        <w:t xml:space="preserve"> to employees </w:t>
      </w:r>
      <w:r w:rsidR="002A2A0E">
        <w:t>in</w:t>
      </w:r>
      <w:r>
        <w:t xml:space="preserve"> spec</w:t>
      </w:r>
      <w:r>
        <w:t xml:space="preserve">ified </w:t>
      </w:r>
      <w:r w:rsidR="002A2A0E">
        <w:t xml:space="preserve">circumstances, </w:t>
      </w:r>
      <w:r>
        <w:t xml:space="preserve">including: </w:t>
      </w:r>
    </w:p>
    <w:p w:rsidR="002264FF" w:rsidRDefault="0059040A" w:rsidP="00763768">
      <w:pPr>
        <w:pStyle w:val="Checkbox"/>
        <w:spacing w:after="80"/>
        <w:contextualSpacing w:val="0"/>
      </w:pPr>
      <w:bookmarkStart w:id="3" w:name="_Hlk36464217"/>
      <w:r>
        <w:t>A quarantine or isolation order for the employee or someone the employee is caring for, or medical advice to self-quarantine;</w:t>
      </w:r>
    </w:p>
    <w:bookmarkEnd w:id="3"/>
    <w:p w:rsidR="002264FF" w:rsidRDefault="0059040A" w:rsidP="00763768">
      <w:pPr>
        <w:pStyle w:val="Checkbox"/>
        <w:spacing w:after="80"/>
        <w:contextualSpacing w:val="0"/>
      </w:pPr>
      <w:r>
        <w:t xml:space="preserve">When the employee has symptoms of COVID-19; </w:t>
      </w:r>
      <w:r w:rsidR="00984F49">
        <w:t>or</w:t>
      </w:r>
    </w:p>
    <w:p w:rsidR="00F545A1" w:rsidRDefault="0059040A" w:rsidP="00965765">
      <w:pPr>
        <w:pStyle w:val="Checkbox"/>
        <w:contextualSpacing w:val="0"/>
      </w:pPr>
      <w:r>
        <w:rPr>
          <w:noProof/>
        </w:rPr>
        <mc:AlternateContent>
          <mc:Choice Requires="wps">
            <w:drawing>
              <wp:anchor distT="45720" distB="45720" distL="114300" distR="114300" simplePos="0" relativeHeight="251661312" behindDoc="0" locked="0" layoutInCell="1" allowOverlap="1">
                <wp:simplePos x="0" y="0"/>
                <wp:positionH relativeFrom="column">
                  <wp:posOffset>4537710</wp:posOffset>
                </wp:positionH>
                <wp:positionV relativeFrom="page">
                  <wp:posOffset>6261100</wp:posOffset>
                </wp:positionV>
                <wp:extent cx="2500630" cy="236601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0630" cy="2366010"/>
                        </a:xfrm>
                        <a:prstGeom prst="rect">
                          <a:avLst/>
                        </a:prstGeom>
                        <a:noFill/>
                        <a:ln w="9525">
                          <a:noFill/>
                          <a:miter lim="800000"/>
                          <a:headEnd/>
                          <a:tailEnd/>
                        </a:ln>
                      </wps:spPr>
                      <wps:txbx>
                        <w:txbxContent>
                          <w:p w:rsidR="003D6208" w:rsidRPr="00C42A40" w:rsidRDefault="0059040A" w:rsidP="003D6208">
                            <w:pPr>
                              <w:pStyle w:val="BulletListText"/>
                              <w:rPr>
                                <w:szCs w:val="22"/>
                              </w:rPr>
                            </w:pPr>
                            <w:r w:rsidRPr="00C42A40">
                              <w:rPr>
                                <w:szCs w:val="22"/>
                              </w:rPr>
                              <w:t xml:space="preserve">U.S. Department of Labor (DOL) </w:t>
                            </w:r>
                            <w:hyperlink r:id="rId12" w:history="1">
                              <w:r w:rsidRPr="00C42A40">
                                <w:rPr>
                                  <w:rStyle w:val="Hyperlink"/>
                                  <w:szCs w:val="22"/>
                                </w:rPr>
                                <w:t>webpage</w:t>
                              </w:r>
                            </w:hyperlink>
                            <w:r w:rsidRPr="00C42A40">
                              <w:rPr>
                                <w:szCs w:val="22"/>
                              </w:rPr>
                              <w:t xml:space="preserve"> with information, guidance and other materials on the new </w:t>
                            </w:r>
                            <w:r w:rsidR="0061597F" w:rsidRPr="00C42A40">
                              <w:rPr>
                                <w:szCs w:val="22"/>
                              </w:rPr>
                              <w:t>paid leave requirements</w:t>
                            </w:r>
                            <w:r w:rsidR="006D2D6D">
                              <w:rPr>
                                <w:szCs w:val="22"/>
                              </w:rPr>
                              <w:br/>
                            </w:r>
                          </w:p>
                          <w:p w:rsidR="003D6208" w:rsidRPr="00C42A40" w:rsidRDefault="0059040A" w:rsidP="003D6208">
                            <w:pPr>
                              <w:pStyle w:val="BulletListText"/>
                              <w:rPr>
                                <w:szCs w:val="22"/>
                              </w:rPr>
                            </w:pPr>
                            <w:r w:rsidRPr="00C42A40">
                              <w:rPr>
                                <w:szCs w:val="22"/>
                              </w:rPr>
                              <w:t xml:space="preserve">DOL </w:t>
                            </w:r>
                            <w:hyperlink r:id="rId13" w:history="1">
                              <w:r w:rsidRPr="00C42A40">
                                <w:rPr>
                                  <w:rStyle w:val="Hyperlink"/>
                                  <w:szCs w:val="22"/>
                                </w:rPr>
                                <w:t>Q&amp;As</w:t>
                              </w:r>
                            </w:hyperlink>
                            <w:r w:rsidRPr="00C42A40">
                              <w:rPr>
                                <w:szCs w:val="22"/>
                              </w:rPr>
                              <w:t xml:space="preserve"> on the new </w:t>
                            </w:r>
                            <w:r w:rsidR="0061597F" w:rsidRPr="00C42A40">
                              <w:rPr>
                                <w:szCs w:val="22"/>
                              </w:rPr>
                              <w:t>paid leave requirements</w:t>
                            </w:r>
                            <w:r w:rsidR="006D2D6D">
                              <w:rPr>
                                <w:szCs w:val="22"/>
                              </w:rPr>
                              <w:br/>
                            </w:r>
                          </w:p>
                          <w:p w:rsidR="00EA6DFF" w:rsidRPr="00C42A40" w:rsidRDefault="0059040A" w:rsidP="005F7243">
                            <w:pPr>
                              <w:pStyle w:val="BulletListText"/>
                              <w:rPr>
                                <w:szCs w:val="22"/>
                              </w:rPr>
                            </w:pPr>
                            <w:r w:rsidRPr="00C42A40">
                              <w:rPr>
                                <w:szCs w:val="22"/>
                              </w:rPr>
                              <w:t xml:space="preserve">Required employer </w:t>
                            </w:r>
                            <w:hyperlink r:id="rId14" w:history="1">
                              <w:r w:rsidRPr="00C42A40">
                                <w:rPr>
                                  <w:rStyle w:val="Hyperlink"/>
                                  <w:szCs w:val="22"/>
                                </w:rPr>
                                <w:t>poster</w:t>
                              </w:r>
                            </w:hyperlink>
                            <w:r w:rsidRPr="00C42A40">
                              <w:rPr>
                                <w:szCs w:val="22"/>
                              </w:rPr>
                              <w:t xml:space="preserve"> about the new</w:t>
                            </w:r>
                            <w:r w:rsidRPr="00C42A40">
                              <w:rPr>
                                <w:szCs w:val="22"/>
                              </w:rPr>
                              <w:t xml:space="preserve"> </w:t>
                            </w:r>
                            <w:r w:rsidR="0061597F" w:rsidRPr="00C42A40">
                              <w:rPr>
                                <w:szCs w:val="22"/>
                              </w:rPr>
                              <w:t>paid leave requirements</w:t>
                            </w:r>
                            <w:r w:rsidR="006D2D6D">
                              <w:rPr>
                                <w:szCs w:val="22"/>
                              </w:rPr>
                              <w:br/>
                            </w:r>
                          </w:p>
                          <w:p w:rsidR="005F7243" w:rsidRPr="00C42A40" w:rsidRDefault="0059040A" w:rsidP="003D6208">
                            <w:pPr>
                              <w:pStyle w:val="BulletListText"/>
                              <w:rPr>
                                <w:szCs w:val="22"/>
                              </w:rPr>
                            </w:pPr>
                            <w:r w:rsidRPr="00C42A40">
                              <w:rPr>
                                <w:szCs w:val="22"/>
                              </w:rPr>
                              <w:t xml:space="preserve">Employer </w:t>
                            </w:r>
                            <w:hyperlink r:id="rId15" w:history="1">
                              <w:r w:rsidRPr="00C42A40">
                                <w:rPr>
                                  <w:rStyle w:val="Hyperlink"/>
                                  <w:szCs w:val="22"/>
                                </w:rPr>
                                <w:t>fact sheet</w:t>
                              </w:r>
                            </w:hyperlink>
                            <w:r w:rsidRPr="00C42A40">
                              <w:rPr>
                                <w:szCs w:val="22"/>
                              </w:rPr>
                              <w:t xml:space="preserve"> </w:t>
                            </w:r>
                            <w:r w:rsidR="00C42A40">
                              <w:rPr>
                                <w:szCs w:val="22"/>
                              </w:rPr>
                              <w:t>on the new paid leave requirements</w:t>
                            </w:r>
                          </w:p>
                          <w:p w:rsidR="00F16DB7" w:rsidRPr="00D2167C" w:rsidRDefault="00F16DB7" w:rsidP="00763768">
                            <w:pPr>
                              <w:pStyle w:val="BodyText"/>
                            </w:pPr>
                          </w:p>
                          <w:p w:rsidR="00F16DB7" w:rsidRDefault="00F16DB7" w:rsidP="00844896">
                            <w:pPr>
                              <w:pStyle w:val="BodyText"/>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196.9pt;height:186.3pt;margin-top:493pt;margin-left:357.3pt;mso-height-percent:0;mso-height-relative:margin;mso-position-vertical-relative:page;mso-width-percent:0;mso-width-relative:margin;mso-wrap-distance-bottom:3.6pt;mso-wrap-distance-left:9pt;mso-wrap-distance-right:9pt;mso-wrap-distance-top:3.6pt;mso-wrap-style:square;position:absolute;visibility:visible;v-text-anchor:top;z-index:251662336" filled="f" stroked="f">
                <v:textbox>
                  <w:txbxContent>
                    <w:p w:rsidR="003D6208" w:rsidRPr="00C42A40" w:rsidP="003D6208">
                      <w:pPr>
                        <w:pStyle w:val="BulletListText"/>
                        <w:rPr>
                          <w:szCs w:val="22"/>
                        </w:rPr>
                      </w:pPr>
                      <w:r w:rsidRPr="00C42A40">
                        <w:rPr>
                          <w:szCs w:val="22"/>
                        </w:rPr>
                        <w:t xml:space="preserve">U.S. Department of Labor (DOL) </w:t>
                      </w:r>
                      <w:r>
                        <w:fldChar w:fldCharType="begin"/>
                      </w:r>
                      <w:r>
                        <w:instrText xml:space="preserve"> HYPERLINK "https://www.dol.gov/agencies/whd/pandemic" </w:instrText>
                      </w:r>
                      <w:r>
                        <w:fldChar w:fldCharType="separate"/>
                      </w:r>
                      <w:r w:rsidRPr="00C42A40">
                        <w:rPr>
                          <w:rStyle w:val="Hyperlink"/>
                          <w:szCs w:val="22"/>
                        </w:rPr>
                        <w:t>webpage</w:t>
                      </w:r>
                      <w:r>
                        <w:fldChar w:fldCharType="end"/>
                      </w:r>
                      <w:r w:rsidRPr="00C42A40">
                        <w:rPr>
                          <w:szCs w:val="22"/>
                        </w:rPr>
                        <w:t xml:space="preserve"> with information, guidance and other materials on the new </w:t>
                      </w:r>
                      <w:r w:rsidRPr="00C42A40" w:rsidR="0061597F">
                        <w:rPr>
                          <w:szCs w:val="22"/>
                        </w:rPr>
                        <w:t>paid leave requirements</w:t>
                      </w:r>
                      <w:r w:rsidR="006D2D6D">
                        <w:rPr>
                          <w:szCs w:val="22"/>
                        </w:rPr>
                        <w:br/>
                      </w:r>
                    </w:p>
                    <w:p w:rsidR="003D6208" w:rsidRPr="00C42A40" w:rsidP="003D6208">
                      <w:pPr>
                        <w:pStyle w:val="BulletListText"/>
                        <w:rPr>
                          <w:szCs w:val="22"/>
                        </w:rPr>
                      </w:pPr>
                      <w:r w:rsidRPr="00C42A40">
                        <w:rPr>
                          <w:szCs w:val="22"/>
                        </w:rPr>
                        <w:t xml:space="preserve">DOL </w:t>
                      </w:r>
                      <w:r>
                        <w:fldChar w:fldCharType="begin"/>
                      </w:r>
                      <w:r>
                        <w:instrText xml:space="preserve"> HYPERLINK "https://www.dol.gov/agencies/whd/pandemic/ffcra-questions" </w:instrText>
                      </w:r>
                      <w:r>
                        <w:fldChar w:fldCharType="separate"/>
                      </w:r>
                      <w:r w:rsidRPr="00C42A40">
                        <w:rPr>
                          <w:rStyle w:val="Hyperlink"/>
                          <w:szCs w:val="22"/>
                        </w:rPr>
                        <w:t>Q&amp;As</w:t>
                      </w:r>
                      <w:r>
                        <w:fldChar w:fldCharType="end"/>
                      </w:r>
                      <w:r w:rsidRPr="00C42A40">
                        <w:rPr>
                          <w:szCs w:val="22"/>
                        </w:rPr>
                        <w:t xml:space="preserve"> on the new </w:t>
                      </w:r>
                      <w:r w:rsidRPr="00C42A40" w:rsidR="0061597F">
                        <w:rPr>
                          <w:szCs w:val="22"/>
                        </w:rPr>
                        <w:t>paid leave requirements</w:t>
                      </w:r>
                      <w:r w:rsidR="006D2D6D">
                        <w:rPr>
                          <w:szCs w:val="22"/>
                        </w:rPr>
                        <w:br/>
                      </w:r>
                    </w:p>
                    <w:p w:rsidR="00EA6DFF" w:rsidRPr="00C42A40" w:rsidP="005F7243">
                      <w:pPr>
                        <w:pStyle w:val="BulletListText"/>
                        <w:rPr>
                          <w:szCs w:val="22"/>
                        </w:rPr>
                      </w:pPr>
                      <w:r w:rsidRPr="00C42A40">
                        <w:rPr>
                          <w:szCs w:val="22"/>
                        </w:rPr>
                        <w:t xml:space="preserve">Required employer </w:t>
                      </w:r>
                      <w:r>
                        <w:fldChar w:fldCharType="begin"/>
                      </w:r>
                      <w:r>
                        <w:instrText xml:space="preserve"> HYPERLINK "https://www.dol.gov/sites/dolgov/files/WHD/posters/FFCRA_Poster_WH1422_Non-Federal.pdf" </w:instrText>
                      </w:r>
                      <w:r>
                        <w:fldChar w:fldCharType="separate"/>
                      </w:r>
                      <w:r w:rsidRPr="00C42A40">
                        <w:rPr>
                          <w:rStyle w:val="Hyperlink"/>
                          <w:szCs w:val="22"/>
                        </w:rPr>
                        <w:t>poster</w:t>
                      </w:r>
                      <w:r>
                        <w:fldChar w:fldCharType="end"/>
                      </w:r>
                      <w:r w:rsidRPr="00C42A40">
                        <w:rPr>
                          <w:szCs w:val="22"/>
                        </w:rPr>
                        <w:t xml:space="preserve"> about the new </w:t>
                      </w:r>
                      <w:r w:rsidRPr="00C42A40" w:rsidR="0061597F">
                        <w:rPr>
                          <w:szCs w:val="22"/>
                        </w:rPr>
                        <w:t>paid leave requirements</w:t>
                      </w:r>
                      <w:r w:rsidR="006D2D6D">
                        <w:rPr>
                          <w:szCs w:val="22"/>
                        </w:rPr>
                        <w:br/>
                      </w:r>
                    </w:p>
                    <w:p w:rsidR="005F7243" w:rsidRPr="00C42A40" w:rsidP="003D6208">
                      <w:pPr>
                        <w:pStyle w:val="BulletListText"/>
                        <w:rPr>
                          <w:szCs w:val="22"/>
                        </w:rPr>
                      </w:pPr>
                      <w:r w:rsidRPr="00C42A40">
                        <w:rPr>
                          <w:szCs w:val="22"/>
                        </w:rPr>
                        <w:t xml:space="preserve">Employer </w:t>
                      </w:r>
                      <w:r>
                        <w:fldChar w:fldCharType="begin"/>
                      </w:r>
                      <w:r>
                        <w:instrText xml:space="preserve"> HYPERLINK "https://www.dol.gov/agencies/whd/pandemic/ffcra-employer-paid-leave" </w:instrText>
                      </w:r>
                      <w:r>
                        <w:fldChar w:fldCharType="separate"/>
                      </w:r>
                      <w:r w:rsidRPr="00C42A40">
                        <w:rPr>
                          <w:rStyle w:val="Hyperlink"/>
                          <w:szCs w:val="22"/>
                        </w:rPr>
                        <w:t>fact sheet</w:t>
                      </w:r>
                      <w:r>
                        <w:fldChar w:fldCharType="end"/>
                      </w:r>
                      <w:r w:rsidRPr="00C42A40">
                        <w:rPr>
                          <w:szCs w:val="22"/>
                        </w:rPr>
                        <w:t xml:space="preserve"> </w:t>
                      </w:r>
                      <w:r w:rsidR="00C42A40">
                        <w:rPr>
                          <w:szCs w:val="22"/>
                        </w:rPr>
                        <w:t>on the new paid leave requirements</w:t>
                      </w:r>
                    </w:p>
                    <w:p w:rsidR="00F16DB7" w:rsidRPr="00D2167C" w:rsidP="00763768">
                      <w:pPr>
                        <w:pStyle w:val="BodyText"/>
                      </w:pPr>
                    </w:p>
                    <w:p w:rsidR="00F16DB7" w:rsidP="00844896">
                      <w:pPr>
                        <w:pStyle w:val="BodyText"/>
                      </w:pPr>
                    </w:p>
                  </w:txbxContent>
                </v:textbox>
                <w10:wrap type="square"/>
              </v:shape>
            </w:pict>
          </mc:Fallback>
        </mc:AlternateContent>
      </w:r>
      <w:r w:rsidR="00A97C1E">
        <w:t>When t</w:t>
      </w:r>
      <w:r w:rsidR="002264FF">
        <w:t>he employee’s child’s school or child care facility is closed</w:t>
      </w:r>
      <w:r w:rsidR="00965765">
        <w:t>.</w:t>
      </w:r>
      <w:r w:rsidR="002264FF">
        <w:t xml:space="preserve"> </w:t>
      </w:r>
    </w:p>
    <w:p w:rsidR="005A1F47" w:rsidRDefault="0059040A" w:rsidP="00336B2E">
      <w:pPr>
        <w:pStyle w:val="BulletListText"/>
        <w:numPr>
          <w:ilvl w:val="0"/>
          <w:numId w:val="0"/>
        </w:numPr>
        <w:spacing w:after="120"/>
        <w:contextualSpacing w:val="0"/>
      </w:pPr>
      <w:r>
        <w:t xml:space="preserve">Employers with 500 </w:t>
      </w:r>
      <w:r>
        <w:t xml:space="preserve">employees or more are </w:t>
      </w:r>
      <w:r w:rsidRPr="0066453D">
        <w:rPr>
          <w:b/>
        </w:rPr>
        <w:t>exempt</w:t>
      </w:r>
      <w:r>
        <w:t xml:space="preserve"> from the law</w:t>
      </w:r>
      <w:r w:rsidR="00984F49">
        <w:t>s</w:t>
      </w:r>
      <w:r w:rsidR="0066453D">
        <w:t xml:space="preserve">, and employers may exclude employees who are </w:t>
      </w:r>
      <w:r w:rsidR="0066453D" w:rsidRPr="001A6245">
        <w:rPr>
          <w:b/>
        </w:rPr>
        <w:t>h</w:t>
      </w:r>
      <w:r w:rsidRPr="001A6245">
        <w:rPr>
          <w:b/>
        </w:rPr>
        <w:t>ealth care providers</w:t>
      </w:r>
      <w:r>
        <w:t xml:space="preserve"> and </w:t>
      </w:r>
      <w:r w:rsidRPr="001A6245">
        <w:rPr>
          <w:b/>
        </w:rPr>
        <w:t>emergency responders</w:t>
      </w:r>
      <w:r w:rsidR="004F7B79">
        <w:t>.</w:t>
      </w:r>
      <w:r w:rsidR="00C3108A">
        <w:t xml:space="preserve"> </w:t>
      </w:r>
      <w:r w:rsidR="0066453D">
        <w:t>T</w:t>
      </w:r>
      <w:r w:rsidR="00F545A1">
        <w:t>he</w:t>
      </w:r>
      <w:r w:rsidR="00984F49">
        <w:t xml:space="preserve"> legislation</w:t>
      </w:r>
      <w:r w:rsidR="0066453D">
        <w:t xml:space="preserve"> also</w:t>
      </w:r>
      <w:r w:rsidR="00F545A1">
        <w:t xml:space="preserve"> allows </w:t>
      </w:r>
      <w:r w:rsidR="002A657E">
        <w:t xml:space="preserve">for </w:t>
      </w:r>
      <w:r w:rsidR="0066453D">
        <w:t xml:space="preserve">future </w:t>
      </w:r>
      <w:r w:rsidR="00F545A1">
        <w:t>regulations</w:t>
      </w:r>
      <w:r>
        <w:br/>
      </w:r>
      <w:r w:rsidR="004802B0">
        <w:t>e</w:t>
      </w:r>
      <w:r>
        <w:t xml:space="preserve">xempting businesses with </w:t>
      </w:r>
      <w:r w:rsidRPr="001A6245">
        <w:rPr>
          <w:b/>
        </w:rPr>
        <w:t>fewer than 50 employees</w:t>
      </w:r>
      <w:r>
        <w:t xml:space="preserve"> from </w:t>
      </w:r>
      <w:r w:rsidR="004D3638">
        <w:t xml:space="preserve">providing leave for child care reasons </w:t>
      </w:r>
      <w:r>
        <w:t xml:space="preserve">if </w:t>
      </w:r>
      <w:r w:rsidR="00912B86">
        <w:t xml:space="preserve">the leave </w:t>
      </w:r>
      <w:r>
        <w:t>would jeopardize the viability of the business.</w:t>
      </w:r>
      <w:r w:rsidR="00336B2E">
        <w:t xml:space="preserve"> </w:t>
      </w:r>
      <w:r w:rsidR="005F7243">
        <w:t>T</w:t>
      </w:r>
      <w:r w:rsidR="002A657E">
        <w:t xml:space="preserve">he </w:t>
      </w:r>
      <w:r w:rsidR="00984F49">
        <w:t xml:space="preserve">leave benefits </w:t>
      </w:r>
      <w:r w:rsidR="005F7243">
        <w:t xml:space="preserve">take effect on April 1, 2020, and </w:t>
      </w:r>
      <w:r w:rsidR="00984F49">
        <w:t>expire</w:t>
      </w:r>
      <w:r w:rsidR="002A657E">
        <w:t xml:space="preserve"> on Dec. 31, 2020.</w:t>
      </w:r>
    </w:p>
    <w:p w:rsidR="005A1F47" w:rsidRDefault="0059040A" w:rsidP="00994E35">
      <w:pPr>
        <w:pStyle w:val="BodyText"/>
        <w:ind w:right="270"/>
      </w:pPr>
      <w:r>
        <w:rPr>
          <w:noProof/>
        </w:rPr>
        <mc:AlternateContent>
          <mc:Choice Requires="wpg">
            <w:drawing>
              <wp:anchor distT="0" distB="0" distL="114300" distR="114300" simplePos="0" relativeHeight="251663360" behindDoc="0" locked="0" layoutInCell="1" allowOverlap="1">
                <wp:simplePos x="0" y="0"/>
                <wp:positionH relativeFrom="column">
                  <wp:posOffset>-448945</wp:posOffset>
                </wp:positionH>
                <wp:positionV relativeFrom="paragraph">
                  <wp:posOffset>125857</wp:posOffset>
                </wp:positionV>
                <wp:extent cx="3331845" cy="367030"/>
                <wp:effectExtent l="0" t="0" r="1905" b="0"/>
                <wp:wrapNone/>
                <wp:docPr id="36" name="Group 36"/>
                <wp:cNvGraphicFramePr/>
                <a:graphic xmlns:a="http://schemas.openxmlformats.org/drawingml/2006/main">
                  <a:graphicData uri="http://schemas.microsoft.com/office/word/2010/wordprocessingGroup">
                    <wpg:wgp>
                      <wpg:cNvGrpSpPr/>
                      <wpg:grpSpPr>
                        <a:xfrm>
                          <a:off x="0" y="0"/>
                          <a:ext cx="3324242" cy="367029"/>
                          <a:chOff x="15231" y="-19522"/>
                          <a:chExt cx="3324411" cy="367501"/>
                        </a:xfrm>
                      </wpg:grpSpPr>
                      <pic:pic xmlns:pic="http://schemas.openxmlformats.org/drawingml/2006/picture">
                        <pic:nvPicPr>
                          <pic:cNvPr id="33" name="Picture 3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5231" y="-19522"/>
                            <a:ext cx="3324411" cy="367501"/>
                          </a:xfrm>
                          <a:prstGeom prst="rect">
                            <a:avLst/>
                          </a:prstGeom>
                        </pic:spPr>
                      </pic:pic>
                      <wps:wsp>
                        <wps:cNvPr id="35" name="Text Box 35"/>
                        <wps:cNvSpPr txBox="1">
                          <a:spLocks noChangeArrowheads="1"/>
                        </wps:cNvSpPr>
                        <wps:spPr bwMode="auto">
                          <a:xfrm>
                            <a:off x="377190" y="0"/>
                            <a:ext cx="2413000" cy="329565"/>
                          </a:xfrm>
                          <a:prstGeom prst="rect">
                            <a:avLst/>
                          </a:prstGeom>
                          <a:noFill/>
                          <a:ln w="9525">
                            <a:noFill/>
                            <a:miter lim="800000"/>
                            <a:headEnd/>
                            <a:tailEnd/>
                          </a:ln>
                        </wps:spPr>
                        <wps:txbx>
                          <w:txbxContent>
                            <w:p w:rsidR="00F16DB7" w:rsidRPr="00A8186B" w:rsidRDefault="0059040A" w:rsidP="008B3699">
                              <w:pPr>
                                <w:pStyle w:val="SubHeader"/>
                                <w:rPr>
                                  <w:color w:val="FFFFFF" w:themeColor="background1"/>
                                  <w:sz w:val="32"/>
                                  <w:szCs w:val="32"/>
                                </w:rPr>
                              </w:pPr>
                              <w:r>
                                <w:rPr>
                                  <w:color w:val="FFFFFF" w:themeColor="background1"/>
                                  <w:sz w:val="32"/>
                                  <w:szCs w:val="32"/>
                                </w:rPr>
                                <w:t>Action Steps</w:t>
                              </w:r>
                            </w:p>
                          </w:txbxContent>
                        </wps:txbx>
                        <wps:bodyPr rot="0" vert="horz" wrap="square" anchor="t" anchorCtr="0"/>
                      </wps:wsp>
                    </wpg:wgp>
                  </a:graphicData>
                </a:graphic>
                <wp14:sizeRelH relativeFrom="margin">
                  <wp14:pctWidth>0</wp14:pctWidth>
                </wp14:sizeRelH>
                <wp14:sizeRelV relativeFrom="margin">
                  <wp14:pctHeight>0</wp14:pctHeight>
                </wp14:sizeRelV>
              </wp:anchor>
            </w:drawing>
          </mc:Choice>
          <mc:Fallback>
            <w:pict>
              <v:group id="Group 36" o:spid="_x0000_s1033" style="width:262.35pt;height:28.9pt;margin-top:9.9pt;margin-left:-35.35pt;mso-height-relative:margin;mso-width-relative:margin;position:absolute;z-index:251664384" coordorigin="152,-195" coordsize="33244,3675">
                <v:shape id="Picture 33" o:spid="_x0000_s1034" type="#_x0000_t75" style="width:33244;height:3674;left:152;mso-wrap-style:square;position:absolute;top:-195;visibility:visible">
                  <v:imagedata r:id="rId10" o:title=""/>
                </v:shape>
                <v:shape id="Text Box 35" o:spid="_x0000_s1035" type="#_x0000_t202" style="width:24130;height:3295;left:3771;mso-wrap-style:square;position:absolute;visibility:visible;v-text-anchor:top" filled="f" stroked="f">
                  <v:textbox>
                    <w:txbxContent>
                      <w:p w:rsidR="00F16DB7" w:rsidRPr="00A8186B" w:rsidP="008B3699">
                        <w:pPr>
                          <w:pStyle w:val="SubHeader"/>
                          <w:rPr>
                            <w:color w:val="FFFFFF" w:themeColor="background1"/>
                            <w:sz w:val="32"/>
                            <w:szCs w:val="32"/>
                          </w:rPr>
                        </w:pPr>
                        <w:r>
                          <w:rPr>
                            <w:color w:val="FFFFFF" w:themeColor="background1"/>
                            <w:sz w:val="32"/>
                            <w:szCs w:val="32"/>
                          </w:rPr>
                          <w:t>Action Steps</w:t>
                        </w:r>
                      </w:p>
                    </w:txbxContent>
                  </v:textbox>
                </v:shape>
              </v:group>
            </w:pict>
          </mc:Fallback>
        </mc:AlternateContent>
      </w:r>
    </w:p>
    <w:p w:rsidR="001B200A" w:rsidRDefault="001B200A" w:rsidP="00150559">
      <w:pPr>
        <w:pStyle w:val="Xbox"/>
        <w:numPr>
          <w:ilvl w:val="0"/>
          <w:numId w:val="0"/>
        </w:numPr>
        <w:ind w:right="270"/>
      </w:pPr>
    </w:p>
    <w:p w:rsidR="00326673" w:rsidRDefault="00326673" w:rsidP="00326673">
      <w:pPr>
        <w:pStyle w:val="Xbox"/>
        <w:numPr>
          <w:ilvl w:val="0"/>
          <w:numId w:val="0"/>
        </w:numPr>
        <w:ind w:left="540" w:right="270"/>
      </w:pPr>
    </w:p>
    <w:p w:rsidR="00A357CD" w:rsidRPr="00682C43" w:rsidRDefault="0059040A" w:rsidP="00682C43">
      <w:pPr>
        <w:pStyle w:val="Xbox"/>
        <w:numPr>
          <w:ilvl w:val="0"/>
          <w:numId w:val="0"/>
        </w:numPr>
        <w:ind w:right="270"/>
        <w:sectPr w:rsidR="00A357CD" w:rsidRPr="00682C43" w:rsidSect="008A7E71">
          <w:headerReference w:type="default" r:id="rId16"/>
          <w:footerReference w:type="default" r:id="rId17"/>
          <w:pgSz w:w="12240" w:h="15840"/>
          <w:pgMar w:top="3946" w:right="4680" w:bottom="1440" w:left="720" w:header="720" w:footer="720" w:gutter="0"/>
          <w:cols w:space="720"/>
          <w:docGrid w:linePitch="360"/>
        </w:sectPr>
      </w:pPr>
      <w:r>
        <w:t xml:space="preserve">Employers </w:t>
      </w:r>
      <w:r w:rsidR="001B296C">
        <w:t xml:space="preserve">should </w:t>
      </w:r>
      <w:r>
        <w:t>familiarize themselves with the</w:t>
      </w:r>
      <w:r w:rsidR="00912B86">
        <w:t xml:space="preserve"> </w:t>
      </w:r>
      <w:r>
        <w:t xml:space="preserve">new </w:t>
      </w:r>
      <w:r w:rsidR="00912B86">
        <w:t>leave requirements</w:t>
      </w:r>
      <w:r>
        <w:t xml:space="preserve"> to ensure compliance</w:t>
      </w:r>
      <w:r w:rsidR="008C5137">
        <w:t>.</w:t>
      </w:r>
      <w:r w:rsidR="00682C43">
        <w:tab/>
      </w:r>
    </w:p>
    <w:p w:rsidR="00682C43" w:rsidRPr="00D62C1E" w:rsidRDefault="0059040A" w:rsidP="00682C43">
      <w:pPr>
        <w:pStyle w:val="SubHeader"/>
        <w:ind w:right="270"/>
        <w:rPr>
          <w:color w:val="7030A0"/>
          <w:sz w:val="36"/>
          <w:szCs w:val="36"/>
        </w:rPr>
      </w:pPr>
      <w:r>
        <w:rPr>
          <w:color w:val="7030A0"/>
          <w:sz w:val="36"/>
          <w:szCs w:val="36"/>
        </w:rPr>
        <w:lastRenderedPageBreak/>
        <w:t>Overview</w:t>
      </w:r>
    </w:p>
    <w:p w:rsidR="00682C43" w:rsidRDefault="0059040A" w:rsidP="00C159FC">
      <w:pPr>
        <w:pStyle w:val="BodyText"/>
        <w:rPr>
          <w:b/>
        </w:rPr>
      </w:pPr>
      <w:r>
        <w:t xml:space="preserve">To alleviate the effects of </w:t>
      </w:r>
      <w:r w:rsidR="00A97C1E">
        <w:t>the coronavirus (COVID-19) pandemic, Congress</w:t>
      </w:r>
      <w:r w:rsidR="00E75B38">
        <w:t xml:space="preserve"> </w:t>
      </w:r>
      <w:r w:rsidR="00A97C1E">
        <w:t>enacted</w:t>
      </w:r>
      <w:r w:rsidR="006D3B8D">
        <w:t xml:space="preserve"> </w:t>
      </w:r>
      <w:r w:rsidR="00EA6DFF">
        <w:t>the Families First Coronavirus Response Act</w:t>
      </w:r>
      <w:r w:rsidR="006D3B8D">
        <w:t xml:space="preserve">, </w:t>
      </w:r>
      <w:r w:rsidR="00EA6DFF">
        <w:t xml:space="preserve"> </w:t>
      </w:r>
      <w:r w:rsidR="006D3B8D">
        <w:t>which</w:t>
      </w:r>
      <w:r w:rsidR="00E75B38">
        <w:t xml:space="preserve"> includ</w:t>
      </w:r>
      <w:r w:rsidR="006D3B8D">
        <w:t>ed</w:t>
      </w:r>
      <w:r w:rsidR="00E75B38">
        <w:t xml:space="preserve"> two separate laws </w:t>
      </w:r>
      <w:r w:rsidR="00913ADC">
        <w:t>mandating</w:t>
      </w:r>
      <w:r w:rsidR="00A97C1E">
        <w:t xml:space="preserve"> paid</w:t>
      </w:r>
      <w:r w:rsidR="00913ADC">
        <w:t xml:space="preserve"> </w:t>
      </w:r>
      <w:r w:rsidR="006D3B8D">
        <w:t xml:space="preserve">employee </w:t>
      </w:r>
      <w:r w:rsidR="00A97C1E">
        <w:t>leave for specifi</w:t>
      </w:r>
      <w:r w:rsidR="006D3B8D">
        <w:t>c</w:t>
      </w:r>
      <w:r w:rsidR="00A97C1E">
        <w:t xml:space="preserve"> </w:t>
      </w:r>
      <w:r w:rsidR="006D3B8D">
        <w:t xml:space="preserve">COVID-19 </w:t>
      </w:r>
      <w:r w:rsidR="00A97C1E">
        <w:t xml:space="preserve">purposes. </w:t>
      </w:r>
      <w:r w:rsidR="00E75B38">
        <w:t>The</w:t>
      </w:r>
      <w:r w:rsidR="00D83E73">
        <w:t xml:space="preserve"> two leave laws are</w:t>
      </w:r>
      <w:bookmarkStart w:id="4" w:name="_Hlk35511909"/>
      <w:r w:rsidR="00D83E73">
        <w:t xml:space="preserve"> </w:t>
      </w:r>
      <w:r w:rsidR="00E75B38" w:rsidRPr="00E75B38">
        <w:t>the Emergency Family and Medical Leave Expansion Act</w:t>
      </w:r>
      <w:r w:rsidR="00E75B38">
        <w:t xml:space="preserve"> </w:t>
      </w:r>
      <w:bookmarkEnd w:id="4"/>
      <w:r w:rsidR="00E75B38">
        <w:t xml:space="preserve">and </w:t>
      </w:r>
      <w:r w:rsidR="00E75B38" w:rsidRPr="00E75B38">
        <w:t>the Emergency Paid Sick Leave Act</w:t>
      </w:r>
      <w:r w:rsidR="00E75B38">
        <w:t>. The leave mandates</w:t>
      </w:r>
      <w:r w:rsidR="00BB6EC7">
        <w:t xml:space="preserve"> take effect </w:t>
      </w:r>
      <w:r w:rsidR="005F7243">
        <w:t xml:space="preserve">on </w:t>
      </w:r>
      <w:r w:rsidR="00D21BC7">
        <w:t xml:space="preserve">April </w:t>
      </w:r>
      <w:r w:rsidR="005F7243">
        <w:t>1</w:t>
      </w:r>
      <w:r w:rsidR="00D21BC7">
        <w:t>, 2020</w:t>
      </w:r>
      <w:r w:rsidR="00BB6EC7">
        <w:t xml:space="preserve"> and sunset on Dec. 31, 2020.</w:t>
      </w:r>
    </w:p>
    <w:p w:rsidR="00682C43" w:rsidRPr="008A7E71" w:rsidRDefault="0059040A" w:rsidP="00682C43">
      <w:pPr>
        <w:pStyle w:val="SubHeader"/>
        <w:ind w:right="270"/>
      </w:pPr>
      <w:r>
        <w:t>T</w:t>
      </w:r>
      <w:r w:rsidRPr="000263F8">
        <w:t>he Emergency Family and Medical Leave Expansion Act</w:t>
      </w:r>
    </w:p>
    <w:p w:rsidR="00340702" w:rsidRDefault="0059040A" w:rsidP="00EC210B">
      <w:pPr>
        <w:pStyle w:val="BodyText"/>
      </w:pPr>
      <w:r>
        <w:t>In general, t</w:t>
      </w:r>
      <w:r w:rsidR="00EC210B">
        <w:t xml:space="preserve">he </w:t>
      </w:r>
      <w:r w:rsidR="00136162" w:rsidRPr="000263F8">
        <w:t>Emergency Family and Medical Leave Expansion Act</w:t>
      </w:r>
      <w:r w:rsidR="00136162">
        <w:t xml:space="preserve"> a</w:t>
      </w:r>
      <w:r w:rsidR="008C5137">
        <w:t>mends</w:t>
      </w:r>
      <w:r w:rsidR="00136162">
        <w:t xml:space="preserve"> </w:t>
      </w:r>
      <w:r>
        <w:t xml:space="preserve">the federal Family and Medical Leave Act (FMLA) to </w:t>
      </w:r>
      <w:r>
        <w:t>allow employees to take</w:t>
      </w:r>
      <w:r w:rsidR="002A3F8C">
        <w:t xml:space="preserve"> </w:t>
      </w:r>
      <w:r>
        <w:t xml:space="preserve">leave </w:t>
      </w:r>
      <w:r w:rsidRPr="00D83E73">
        <w:t>for certain</w:t>
      </w:r>
      <w:r>
        <w:rPr>
          <w:b/>
        </w:rPr>
        <w:t xml:space="preserve"> </w:t>
      </w:r>
      <w:r w:rsidRPr="008C5137">
        <w:rPr>
          <w:b/>
        </w:rPr>
        <w:t>child care purposes</w:t>
      </w:r>
      <w:r>
        <w:t xml:space="preserve"> related to COVID-19</w:t>
      </w:r>
      <w:r w:rsidR="00710C3B">
        <w:t>.</w:t>
      </w:r>
      <w:r>
        <w:t xml:space="preserve"> </w:t>
      </w:r>
      <w:r w:rsidR="00710C3B">
        <w:t>I</w:t>
      </w:r>
      <w:r>
        <w:t xml:space="preserve">t requires employers to </w:t>
      </w:r>
      <w:r w:rsidRPr="008C5137">
        <w:rPr>
          <w:b/>
        </w:rPr>
        <w:t>partially compensate</w:t>
      </w:r>
      <w:r>
        <w:t xml:space="preserve"> that leave after the first 10 days. </w:t>
      </w:r>
    </w:p>
    <w:p w:rsidR="004F1899" w:rsidRPr="00C159FC" w:rsidRDefault="0059040A" w:rsidP="00C159FC">
      <w:pPr>
        <w:pStyle w:val="BodyText"/>
        <w:spacing w:after="0"/>
        <w:rPr>
          <w:i/>
          <w:sz w:val="26"/>
          <w:szCs w:val="26"/>
        </w:rPr>
      </w:pPr>
      <w:r w:rsidRPr="00C159FC">
        <w:rPr>
          <w:i/>
          <w:sz w:val="26"/>
          <w:szCs w:val="26"/>
        </w:rPr>
        <w:t>Covered Employers</w:t>
      </w:r>
    </w:p>
    <w:p w:rsidR="00763768" w:rsidRDefault="0059040A" w:rsidP="00EC210B">
      <w:pPr>
        <w:pStyle w:val="BodyText"/>
      </w:pPr>
      <w:r w:rsidRPr="00366E56">
        <w:rPr>
          <w:szCs w:val="22"/>
        </w:rPr>
        <w:t xml:space="preserve">The expanded FMLA </w:t>
      </w:r>
      <w:r w:rsidR="00136162" w:rsidRPr="00366E56">
        <w:rPr>
          <w:szCs w:val="22"/>
        </w:rPr>
        <w:t>require</w:t>
      </w:r>
      <w:r w:rsidR="002016B5">
        <w:rPr>
          <w:szCs w:val="22"/>
        </w:rPr>
        <w:t>m</w:t>
      </w:r>
      <w:r w:rsidR="00136162" w:rsidRPr="00366E56">
        <w:rPr>
          <w:szCs w:val="22"/>
        </w:rPr>
        <w:t>ents</w:t>
      </w:r>
      <w:r w:rsidRPr="00366E56">
        <w:rPr>
          <w:szCs w:val="22"/>
        </w:rPr>
        <w:t xml:space="preserve"> apply to </w:t>
      </w:r>
      <w:r w:rsidR="00EC210B" w:rsidRPr="00366E56">
        <w:rPr>
          <w:szCs w:val="22"/>
        </w:rPr>
        <w:t xml:space="preserve">private employers with </w:t>
      </w:r>
      <w:r w:rsidR="00EC210B" w:rsidRPr="00366E56">
        <w:rPr>
          <w:b/>
          <w:szCs w:val="22"/>
        </w:rPr>
        <w:t>fewer than</w:t>
      </w:r>
      <w:r w:rsidR="00EC210B" w:rsidRPr="00366E56">
        <w:rPr>
          <w:szCs w:val="22"/>
        </w:rPr>
        <w:t xml:space="preserve"> </w:t>
      </w:r>
      <w:r w:rsidR="00EC210B" w:rsidRPr="00366E56">
        <w:rPr>
          <w:b/>
          <w:szCs w:val="22"/>
        </w:rPr>
        <w:t>500 employees</w:t>
      </w:r>
      <w:r w:rsidR="00EC210B" w:rsidRPr="00366E56">
        <w:rPr>
          <w:szCs w:val="22"/>
        </w:rPr>
        <w:t xml:space="preserve">, and </w:t>
      </w:r>
      <w:r w:rsidR="000908AA">
        <w:rPr>
          <w:szCs w:val="22"/>
        </w:rPr>
        <w:t>some</w:t>
      </w:r>
      <w:r w:rsidR="00340702" w:rsidRPr="00366E56">
        <w:rPr>
          <w:szCs w:val="22"/>
        </w:rPr>
        <w:t xml:space="preserve"> </w:t>
      </w:r>
      <w:r w:rsidR="00EC210B" w:rsidRPr="00366E56">
        <w:rPr>
          <w:szCs w:val="22"/>
        </w:rPr>
        <w:t>government</w:t>
      </w:r>
      <w:r w:rsidR="00EC210B">
        <w:t xml:space="preserve"> employers</w:t>
      </w:r>
      <w:r>
        <w:t>.</w:t>
      </w:r>
      <w:r w:rsidR="00366E56">
        <w:t xml:space="preserve"> </w:t>
      </w:r>
      <w:r>
        <w:t xml:space="preserve">Thus, small employers that are not subject to the FMLA’s regular leave provisions are subject to the </w:t>
      </w:r>
      <w:r w:rsidR="00EE4212">
        <w:t>new</w:t>
      </w:r>
      <w:r>
        <w:t xml:space="preserve"> FMLA leave rules </w:t>
      </w:r>
      <w:r w:rsidR="00EE4212">
        <w:t xml:space="preserve">that allow employees to take leave for </w:t>
      </w:r>
      <w:r w:rsidR="0023199E">
        <w:t xml:space="preserve">specified </w:t>
      </w:r>
      <w:r w:rsidR="00EE4212">
        <w:t xml:space="preserve">child care purposes related to COVID-19. </w:t>
      </w:r>
    </w:p>
    <w:p w:rsidR="002016B5" w:rsidRPr="002016B5" w:rsidRDefault="0059040A" w:rsidP="002016B5">
      <w:pPr>
        <w:pStyle w:val="BodyText"/>
      </w:pPr>
      <w:r>
        <w:t>However, t</w:t>
      </w:r>
      <w:r w:rsidR="00A97C1E">
        <w:t xml:space="preserve">he law allows for future regulations to </w:t>
      </w:r>
      <w:r w:rsidR="00A97C1E" w:rsidRPr="002016B5">
        <w:rPr>
          <w:b/>
        </w:rPr>
        <w:t>exempt businesses with fewer than 50 employees</w:t>
      </w:r>
      <w:r w:rsidR="00A97C1E">
        <w:t xml:space="preserve"> if the leave would jeopardize the viability of the business.</w:t>
      </w:r>
      <w:r w:rsidR="00763768">
        <w:t xml:space="preserve"> </w:t>
      </w:r>
      <w:r>
        <w:t xml:space="preserve">The DOL has issued </w:t>
      </w:r>
      <w:hyperlink r:id="rId18" w:anchor="58" w:history="1">
        <w:r w:rsidRPr="002016B5">
          <w:rPr>
            <w:rStyle w:val="Hyperlink"/>
          </w:rPr>
          <w:t>guidance</w:t>
        </w:r>
      </w:hyperlink>
      <w:r>
        <w:t xml:space="preserve"> stating that a</w:t>
      </w:r>
      <w:r w:rsidRPr="002016B5">
        <w:t xml:space="preserve"> small business may claim th</w:t>
      </w:r>
      <w:r>
        <w:t>is</w:t>
      </w:r>
      <w:r w:rsidRPr="002016B5">
        <w:t xml:space="preserve"> exemption if an authorized officer of the business has determined that:</w:t>
      </w:r>
    </w:p>
    <w:p w:rsidR="002016B5" w:rsidRDefault="0059040A" w:rsidP="002016B5">
      <w:pPr>
        <w:pStyle w:val="Checkbox"/>
        <w:spacing w:after="80"/>
        <w:contextualSpacing w:val="0"/>
      </w:pPr>
      <w:r w:rsidRPr="002016B5">
        <w:t>The provision of expanded family and medical leave would result in the small business</w:t>
      </w:r>
      <w:r w:rsidRPr="002016B5">
        <w:t>’s expenses and financial obligations exceeding available business revenues and cause the small business to cease operating at a minimal capacity;  </w:t>
      </w:r>
    </w:p>
    <w:p w:rsidR="002016B5" w:rsidRPr="002016B5" w:rsidRDefault="0059040A" w:rsidP="002016B5">
      <w:pPr>
        <w:pStyle w:val="Checkbox"/>
      </w:pPr>
      <w:r w:rsidRPr="002016B5">
        <w:t>The absence of the employee or employees requesting</w:t>
      </w:r>
      <w:r w:rsidR="006D393F">
        <w:t xml:space="preserve"> </w:t>
      </w:r>
      <w:r w:rsidRPr="002016B5">
        <w:t>expanded family and medical leave would entail a substa</w:t>
      </w:r>
      <w:r w:rsidRPr="002016B5">
        <w:t>ntial risk to the financial health or operational capabilities of the small business because of their specialized skills, knowledge of the business, or responsibilities; or  </w:t>
      </w:r>
    </w:p>
    <w:p w:rsidR="002016B5" w:rsidRDefault="0059040A" w:rsidP="002016B5">
      <w:pPr>
        <w:pStyle w:val="Checkbox"/>
      </w:pPr>
      <w:r w:rsidRPr="002016B5">
        <w:t xml:space="preserve">There are not sufficient workers who are able, willing, and qualified, and who </w:t>
      </w:r>
      <w:r w:rsidRPr="002016B5">
        <w:t>will be available at the time and place needed, to perform the labor or services provided by the employee or employees requesting expanded family and medical leave, and these labor or services are needed for the small business to operate at a minimal capac</w:t>
      </w:r>
      <w:r w:rsidRPr="002016B5">
        <w:t>ity.</w:t>
      </w:r>
    </w:p>
    <w:p w:rsidR="00146A23" w:rsidRDefault="0059040A" w:rsidP="00EC210B">
      <w:pPr>
        <w:pStyle w:val="BodyText"/>
      </w:pPr>
      <w:r>
        <w:t xml:space="preserve">The law </w:t>
      </w:r>
      <w:r w:rsidR="002016B5">
        <w:t>further stipulates</w:t>
      </w:r>
      <w:r>
        <w:t xml:space="preserve"> that employers with fewer than 50 employees will not be subject to civil damages in an </w:t>
      </w:r>
      <w:r w:rsidR="00E75A26">
        <w:t xml:space="preserve">employee </w:t>
      </w:r>
      <w:r>
        <w:t xml:space="preserve">action brought </w:t>
      </w:r>
      <w:r w:rsidR="00E75A26">
        <w:t>under the FMLA</w:t>
      </w:r>
      <w:r w:rsidR="0023199E">
        <w:t xml:space="preserve"> for violation of the new provisions</w:t>
      </w:r>
      <w:r>
        <w:t>.</w:t>
      </w:r>
    </w:p>
    <w:p w:rsidR="004F1899" w:rsidRPr="00C159FC" w:rsidRDefault="0059040A" w:rsidP="00C159FC">
      <w:pPr>
        <w:pStyle w:val="BodyText"/>
        <w:spacing w:after="0"/>
        <w:rPr>
          <w:i/>
          <w:sz w:val="26"/>
          <w:szCs w:val="26"/>
        </w:rPr>
      </w:pPr>
      <w:r w:rsidRPr="00C159FC">
        <w:rPr>
          <w:i/>
          <w:sz w:val="26"/>
          <w:szCs w:val="26"/>
        </w:rPr>
        <w:t>Covered Employees</w:t>
      </w:r>
    </w:p>
    <w:p w:rsidR="004F1899" w:rsidRDefault="0059040A" w:rsidP="00EC210B">
      <w:pPr>
        <w:pStyle w:val="BodyText"/>
        <w:rPr>
          <w:szCs w:val="22"/>
        </w:rPr>
      </w:pPr>
      <w:r>
        <w:rPr>
          <w:szCs w:val="22"/>
        </w:rPr>
        <w:t>All employees who have worked for their cur</w:t>
      </w:r>
      <w:r>
        <w:rPr>
          <w:szCs w:val="22"/>
        </w:rPr>
        <w:t xml:space="preserve">rent employer for </w:t>
      </w:r>
      <w:r w:rsidRPr="003C5F21">
        <w:rPr>
          <w:b/>
          <w:szCs w:val="22"/>
        </w:rPr>
        <w:t>30 calendar days</w:t>
      </w:r>
      <w:r>
        <w:rPr>
          <w:szCs w:val="22"/>
        </w:rPr>
        <w:t xml:space="preserve"> are eligible for the new FMLA leave</w:t>
      </w:r>
      <w:r w:rsidR="0049708A">
        <w:rPr>
          <w:szCs w:val="22"/>
        </w:rPr>
        <w:t>;</w:t>
      </w:r>
      <w:r w:rsidR="005A4A1C">
        <w:rPr>
          <w:szCs w:val="22"/>
        </w:rPr>
        <w:t xml:space="preserve"> however, employers are permitted to </w:t>
      </w:r>
      <w:r w:rsidR="0049708A">
        <w:rPr>
          <w:szCs w:val="22"/>
        </w:rPr>
        <w:t>deny leave to</w:t>
      </w:r>
      <w:r w:rsidR="005A4A1C">
        <w:rPr>
          <w:szCs w:val="22"/>
        </w:rPr>
        <w:t xml:space="preserve"> employees who are </w:t>
      </w:r>
      <w:r w:rsidR="005A4A1C" w:rsidRPr="0036666E">
        <w:rPr>
          <w:b/>
          <w:szCs w:val="22"/>
        </w:rPr>
        <w:t>health care providers</w:t>
      </w:r>
      <w:r w:rsidR="005A4A1C">
        <w:rPr>
          <w:szCs w:val="22"/>
        </w:rPr>
        <w:t xml:space="preserve"> or </w:t>
      </w:r>
      <w:r w:rsidR="005A4A1C" w:rsidRPr="0036666E">
        <w:rPr>
          <w:b/>
          <w:szCs w:val="22"/>
        </w:rPr>
        <w:t>emergency responders</w:t>
      </w:r>
      <w:r w:rsidR="005A4A1C">
        <w:rPr>
          <w:szCs w:val="22"/>
        </w:rPr>
        <w:t>.</w:t>
      </w:r>
    </w:p>
    <w:p w:rsidR="0036666E" w:rsidRPr="0036666E" w:rsidRDefault="0059040A" w:rsidP="0036666E">
      <w:pPr>
        <w:pStyle w:val="BodyText"/>
        <w:rPr>
          <w:szCs w:val="22"/>
        </w:rPr>
      </w:pPr>
      <w:r>
        <w:rPr>
          <w:szCs w:val="22"/>
        </w:rPr>
        <w:t xml:space="preserve">DOL </w:t>
      </w:r>
      <w:hyperlink r:id="rId19" w:history="1">
        <w:r w:rsidRPr="0036666E">
          <w:rPr>
            <w:rStyle w:val="Hyperlink"/>
            <w:szCs w:val="22"/>
          </w:rPr>
          <w:t>Q&amp;As</w:t>
        </w:r>
      </w:hyperlink>
      <w:r>
        <w:rPr>
          <w:szCs w:val="22"/>
        </w:rPr>
        <w:t xml:space="preserve"> </w:t>
      </w:r>
      <w:r w:rsidR="00B8387D">
        <w:rPr>
          <w:szCs w:val="22"/>
        </w:rPr>
        <w:t xml:space="preserve">on the new laws </w:t>
      </w:r>
      <w:r>
        <w:rPr>
          <w:szCs w:val="22"/>
        </w:rPr>
        <w:t xml:space="preserve">state that </w:t>
      </w:r>
      <w:r w:rsidRPr="0036666E">
        <w:rPr>
          <w:szCs w:val="22"/>
        </w:rPr>
        <w:t>a health care provider is anyone employed at any doctor’s office, hospital, health care center, clinic, post-secondary educational institution offerin</w:t>
      </w:r>
      <w:r w:rsidRPr="0036666E">
        <w:rPr>
          <w:szCs w:val="22"/>
        </w:rPr>
        <w:t>g health care instruction, medical school, local health department or agency, nursing facility, retirement facility, nursing home, home health care provider, any facility that performs laboratory or medical testing, pharmacy, or any similar institution, em</w:t>
      </w:r>
      <w:r w:rsidRPr="0036666E">
        <w:rPr>
          <w:szCs w:val="22"/>
        </w:rPr>
        <w:t xml:space="preserve">ployer, or entity. This includes any </w:t>
      </w:r>
      <w:r w:rsidRPr="0036666E">
        <w:rPr>
          <w:szCs w:val="22"/>
        </w:rPr>
        <w:lastRenderedPageBreak/>
        <w:t>permanent or temporary institution, facility, location, or site where medical services are provided that are similar to such institutions. </w:t>
      </w:r>
    </w:p>
    <w:p w:rsidR="0036666E" w:rsidRPr="0036666E" w:rsidRDefault="0059040A" w:rsidP="0036666E">
      <w:pPr>
        <w:pStyle w:val="BodyText"/>
      </w:pPr>
      <w:r w:rsidRPr="0036666E">
        <w:t>Th</w:t>
      </w:r>
      <w:r>
        <w:t>e DOL guidance explains further that the defi</w:t>
      </w:r>
      <w:r w:rsidRPr="0036666E">
        <w:t>nition includes any individual e</w:t>
      </w:r>
      <w:r w:rsidRPr="0036666E">
        <w:t xml:space="preserve">mployed by an entity that contracts with any of the above institutions, employers, or entities to provide services or maintain the operation of the facility. </w:t>
      </w:r>
      <w:r>
        <w:t>It</w:t>
      </w:r>
      <w:r w:rsidRPr="0036666E">
        <w:t xml:space="preserve"> also includes anyone employed by any entity that provides medical services, produces medical pr</w:t>
      </w:r>
      <w:r w:rsidRPr="0036666E">
        <w:t>oducts, or is otherwise involved in the making of COVID-19</w:t>
      </w:r>
      <w:r>
        <w:t>-</w:t>
      </w:r>
      <w:r w:rsidRPr="0036666E">
        <w:t>related medical equipment, tests, drugs, vaccines, diagnostic vehicles, or treatments. This also includes any individual that the highest official of a state or territory, including the District of</w:t>
      </w:r>
      <w:r w:rsidRPr="0036666E">
        <w:t xml:space="preserve"> Columbia, determines is a health care provider necessary for that state’s or territory’s</w:t>
      </w:r>
      <w:r>
        <w:t xml:space="preserve">—or </w:t>
      </w:r>
      <w:r w:rsidRPr="0036666E">
        <w:t>the District of Columbia’s</w:t>
      </w:r>
      <w:r>
        <w:t>—response</w:t>
      </w:r>
      <w:r w:rsidRPr="0036666E">
        <w:t xml:space="preserve"> to COVID-19.</w:t>
      </w:r>
    </w:p>
    <w:p w:rsidR="0036666E" w:rsidRDefault="0059040A" w:rsidP="00EC210B">
      <w:pPr>
        <w:pStyle w:val="BodyText"/>
      </w:pPr>
      <w:r w:rsidRPr="0036666E">
        <w:t xml:space="preserve">To minimize the spread of the virus associated with COVID-19, </w:t>
      </w:r>
      <w:r>
        <w:t>DOL</w:t>
      </w:r>
      <w:r w:rsidRPr="0036666E">
        <w:t xml:space="preserve"> encourages employers to be judicious when using </w:t>
      </w:r>
      <w:r w:rsidRPr="0036666E">
        <w:t>this definition to exempt health care providers from the provisions of the FFCRA.</w:t>
      </w:r>
    </w:p>
    <w:p w:rsidR="00C162C6" w:rsidRPr="0036666E" w:rsidRDefault="0059040A" w:rsidP="00EC210B">
      <w:pPr>
        <w:pStyle w:val="BodyText"/>
      </w:pPr>
      <w:r>
        <w:t xml:space="preserve">Most </w:t>
      </w:r>
      <w:r w:rsidRPr="006E6876">
        <w:rPr>
          <w:b/>
        </w:rPr>
        <w:t>public</w:t>
      </w:r>
      <w:r>
        <w:t xml:space="preserve"> federal employees are not covered by the FMLA expansion because the law amended only Title I of the FMLA, and most federal employees are covered by Title II. Howe</w:t>
      </w:r>
      <w:r>
        <w:t>ver, most non-federal employees of public agencies are covered by the expanded FMLA leave. The health care provider and emergency responder exemptions described above also apply to public-sector employees.</w:t>
      </w:r>
    </w:p>
    <w:p w:rsidR="0057511B" w:rsidRPr="00C159FC" w:rsidRDefault="0059040A" w:rsidP="00C159FC">
      <w:pPr>
        <w:pStyle w:val="BodyText"/>
        <w:spacing w:after="0"/>
        <w:rPr>
          <w:i/>
          <w:sz w:val="26"/>
          <w:szCs w:val="26"/>
        </w:rPr>
      </w:pPr>
      <w:r w:rsidRPr="00C159FC">
        <w:rPr>
          <w:i/>
          <w:sz w:val="26"/>
          <w:szCs w:val="26"/>
        </w:rPr>
        <w:t>Us</w:t>
      </w:r>
      <w:r w:rsidR="004F3D1A" w:rsidRPr="00C159FC">
        <w:rPr>
          <w:i/>
          <w:sz w:val="26"/>
          <w:szCs w:val="26"/>
        </w:rPr>
        <w:t>ing Leave</w:t>
      </w:r>
    </w:p>
    <w:p w:rsidR="005A4A1C" w:rsidRDefault="0059040A" w:rsidP="004F3D1A">
      <w:pPr>
        <w:pStyle w:val="BodyText"/>
      </w:pPr>
      <w:r>
        <w:rPr>
          <w:szCs w:val="22"/>
        </w:rPr>
        <w:t>Eligible employees of covered employer</w:t>
      </w:r>
      <w:r>
        <w:rPr>
          <w:szCs w:val="22"/>
        </w:rPr>
        <w:t xml:space="preserve">s may take up to </w:t>
      </w:r>
      <w:r w:rsidRPr="003C5F21">
        <w:rPr>
          <w:b/>
          <w:szCs w:val="22"/>
        </w:rPr>
        <w:t>12 weeks</w:t>
      </w:r>
      <w:r>
        <w:rPr>
          <w:szCs w:val="22"/>
        </w:rPr>
        <w:t xml:space="preserve"> of FMLA leave if they are unable to work (or telework) because they must </w:t>
      </w:r>
      <w:r>
        <w:t xml:space="preserve">care for </w:t>
      </w:r>
      <w:r w:rsidR="00BB6EC7">
        <w:t xml:space="preserve">a son or daughter </w:t>
      </w:r>
      <w:r>
        <w:t xml:space="preserve">under 18 years of age. The need for leave must be caused by the closing of the child’s </w:t>
      </w:r>
      <w:r w:rsidR="00BB6EC7">
        <w:t xml:space="preserve">elementary or high </w:t>
      </w:r>
      <w:r>
        <w:t>school or place of care,</w:t>
      </w:r>
      <w:r>
        <w:t xml:space="preserve"> or the unavailability of the child’s child care provider, due to a declared COVID-19 public health emergency.</w:t>
      </w:r>
    </w:p>
    <w:p w:rsidR="00520FE5" w:rsidRDefault="0059040A" w:rsidP="00520FE5">
      <w:pPr>
        <w:pStyle w:val="BodyText"/>
      </w:pPr>
      <w:bookmarkStart w:id="5" w:name="_Hlk36470345"/>
      <w:r>
        <w:t xml:space="preserve">DOL </w:t>
      </w:r>
      <w:hyperlink r:id="rId20" w:history="1">
        <w:r w:rsidRPr="00520FE5">
          <w:rPr>
            <w:rStyle w:val="Hyperlink"/>
          </w:rPr>
          <w:t>Q&amp;As</w:t>
        </w:r>
      </w:hyperlink>
      <w:r>
        <w:t xml:space="preserve"> clarify that “son or daughter” means the employee’s</w:t>
      </w:r>
      <w:r>
        <w:t xml:space="preserve"> own child, including a biological, adopted, or foster child; a stepchild; a legal ward; or a child for whom the employee is standing in loco parentis—someone with day-to-day responsibilities to care for or financially support a child. Adult children are i</w:t>
      </w:r>
      <w:r>
        <w:t>ncluded if they have a disability that renders them incapable of self care.</w:t>
      </w:r>
      <w:bookmarkEnd w:id="5"/>
    </w:p>
    <w:p w:rsidR="00BB6EC7" w:rsidRDefault="0059040A" w:rsidP="004F3D1A">
      <w:pPr>
        <w:pStyle w:val="BodyText"/>
      </w:pPr>
      <w:r>
        <w:t>“Child care provider” means a provider who receives compensation for providing child care services on a regular basis.</w:t>
      </w:r>
    </w:p>
    <w:p w:rsidR="001464BE" w:rsidRDefault="0059040A" w:rsidP="004F3D1A">
      <w:pPr>
        <w:pStyle w:val="BodyText"/>
      </w:pPr>
      <w:r>
        <w:t>DOL Q&amp;As on the new law</w:t>
      </w:r>
      <w:r w:rsidR="00B8387D">
        <w:t>s</w:t>
      </w:r>
      <w:r>
        <w:t xml:space="preserve"> explain that if an employer was cove</w:t>
      </w:r>
      <w:r>
        <w:t xml:space="preserve">red by the FMLA before April 1, 2020, an employee is limited to 12 weeks of total FMLA leave (including expanded FMLA leave) during the 12-month period the employer uses for FMLA leave. </w:t>
      </w:r>
    </w:p>
    <w:p w:rsidR="00A00694" w:rsidRDefault="0059040A" w:rsidP="004F3D1A">
      <w:pPr>
        <w:pStyle w:val="BodyText"/>
      </w:pPr>
      <w:r>
        <w:t>Where the need for leave is foreseeable, employees should provide the</w:t>
      </w:r>
      <w:r>
        <w:t xml:space="preserve">ir employers with </w:t>
      </w:r>
      <w:r w:rsidR="00EE4212">
        <w:t>as much</w:t>
      </w:r>
      <w:r>
        <w:t xml:space="preserve"> </w:t>
      </w:r>
      <w:r w:rsidRPr="005F5CE7">
        <w:rPr>
          <w:b/>
        </w:rPr>
        <w:t>notice of leave</w:t>
      </w:r>
      <w:r>
        <w:t xml:space="preserve"> as is practicable.</w:t>
      </w:r>
    </w:p>
    <w:p w:rsidR="00BB6EC7" w:rsidRPr="00C159FC" w:rsidRDefault="0059040A" w:rsidP="00C159FC">
      <w:pPr>
        <w:pStyle w:val="BodyText"/>
        <w:spacing w:after="0"/>
        <w:rPr>
          <w:i/>
          <w:sz w:val="26"/>
          <w:szCs w:val="26"/>
        </w:rPr>
      </w:pPr>
      <w:r w:rsidRPr="00C159FC">
        <w:rPr>
          <w:i/>
          <w:sz w:val="26"/>
          <w:szCs w:val="26"/>
        </w:rPr>
        <w:t xml:space="preserve">Compensation </w:t>
      </w:r>
    </w:p>
    <w:p w:rsidR="00CE2D69" w:rsidRDefault="0059040A" w:rsidP="004F3D1A">
      <w:pPr>
        <w:pStyle w:val="BodyText"/>
        <w:rPr>
          <w:szCs w:val="22"/>
        </w:rPr>
      </w:pPr>
      <w:r>
        <w:rPr>
          <w:szCs w:val="22"/>
        </w:rPr>
        <w:t>E</w:t>
      </w:r>
      <w:r w:rsidR="00632F15">
        <w:rPr>
          <w:szCs w:val="22"/>
        </w:rPr>
        <w:t>mployer</w:t>
      </w:r>
      <w:r>
        <w:rPr>
          <w:szCs w:val="22"/>
        </w:rPr>
        <w:t>s</w:t>
      </w:r>
      <w:r w:rsidR="00632F15">
        <w:rPr>
          <w:szCs w:val="22"/>
        </w:rPr>
        <w:t xml:space="preserve"> </w:t>
      </w:r>
      <w:r>
        <w:rPr>
          <w:szCs w:val="22"/>
        </w:rPr>
        <w:t>are</w:t>
      </w:r>
      <w:r w:rsidR="00632F15">
        <w:rPr>
          <w:szCs w:val="22"/>
        </w:rPr>
        <w:t xml:space="preserve"> not required to pay employees for the </w:t>
      </w:r>
      <w:r w:rsidR="00632F15" w:rsidRPr="008120A4">
        <w:rPr>
          <w:b/>
          <w:szCs w:val="22"/>
        </w:rPr>
        <w:t>first 10 days</w:t>
      </w:r>
      <w:r w:rsidR="00632F15">
        <w:rPr>
          <w:szCs w:val="22"/>
        </w:rPr>
        <w:t xml:space="preserve"> of the new FMLA leave</w:t>
      </w:r>
      <w:r w:rsidR="008F4F8E">
        <w:rPr>
          <w:szCs w:val="22"/>
        </w:rPr>
        <w:t>, but</w:t>
      </w:r>
      <w:r>
        <w:rPr>
          <w:szCs w:val="22"/>
        </w:rPr>
        <w:t xml:space="preserve"> employees may substitute any accrued vacation leave, personal leave, or medical or sick </w:t>
      </w:r>
      <w:r>
        <w:rPr>
          <w:szCs w:val="22"/>
        </w:rPr>
        <w:t xml:space="preserve">leave for </w:t>
      </w:r>
      <w:r w:rsidR="008F4F8E">
        <w:rPr>
          <w:szCs w:val="22"/>
        </w:rPr>
        <w:t xml:space="preserve">this </w:t>
      </w:r>
      <w:r>
        <w:rPr>
          <w:szCs w:val="22"/>
        </w:rPr>
        <w:t xml:space="preserve">unpaid leave. </w:t>
      </w:r>
      <w:r w:rsidR="008F4F8E">
        <w:rPr>
          <w:szCs w:val="22"/>
        </w:rPr>
        <w:t>Thereafter, the employer must compensate FMLA leave</w:t>
      </w:r>
      <w:r w:rsidR="0049708A">
        <w:rPr>
          <w:szCs w:val="22"/>
        </w:rPr>
        <w:t xml:space="preserve"> taken under the new provision </w:t>
      </w:r>
      <w:r w:rsidR="008F4F8E">
        <w:rPr>
          <w:szCs w:val="22"/>
        </w:rPr>
        <w:t xml:space="preserve">at a rate of </w:t>
      </w:r>
      <w:r w:rsidR="008F4F8E" w:rsidRPr="003C5F21">
        <w:rPr>
          <w:b/>
          <w:szCs w:val="22"/>
        </w:rPr>
        <w:t>at least two-thirds of</w:t>
      </w:r>
      <w:r w:rsidR="0049708A">
        <w:rPr>
          <w:b/>
          <w:szCs w:val="22"/>
        </w:rPr>
        <w:t xml:space="preserve"> the</w:t>
      </w:r>
      <w:r w:rsidR="008F4F8E" w:rsidRPr="003C5F21">
        <w:rPr>
          <w:b/>
          <w:szCs w:val="22"/>
        </w:rPr>
        <w:t xml:space="preserve"> employee’s regular rate</w:t>
      </w:r>
      <w:r w:rsidR="008F4F8E">
        <w:rPr>
          <w:szCs w:val="22"/>
        </w:rPr>
        <w:t xml:space="preserve"> of pay, based on the number of hours the employee would otherwise normally </w:t>
      </w:r>
      <w:r w:rsidR="0049708A">
        <w:rPr>
          <w:szCs w:val="22"/>
        </w:rPr>
        <w:t>be scheduled</w:t>
      </w:r>
      <w:r w:rsidR="008F4F8E">
        <w:rPr>
          <w:szCs w:val="22"/>
        </w:rPr>
        <w:t xml:space="preserve"> to work, up to a maximum of </w:t>
      </w:r>
      <w:r w:rsidR="008F4F8E" w:rsidRPr="003C5F21">
        <w:rPr>
          <w:b/>
          <w:szCs w:val="22"/>
        </w:rPr>
        <w:t>$200 per day, or $10,000 total</w:t>
      </w:r>
      <w:r w:rsidR="008F4F8E">
        <w:rPr>
          <w:szCs w:val="22"/>
        </w:rPr>
        <w:t xml:space="preserve">.  </w:t>
      </w:r>
    </w:p>
    <w:p w:rsidR="004236E8" w:rsidRDefault="0059040A" w:rsidP="004F3D1A">
      <w:pPr>
        <w:pStyle w:val="BodyText"/>
        <w:rPr>
          <w:szCs w:val="22"/>
        </w:rPr>
      </w:pPr>
      <w:r>
        <w:rPr>
          <w:szCs w:val="22"/>
        </w:rPr>
        <w:lastRenderedPageBreak/>
        <w:t>Special calculation rules apply for employees</w:t>
      </w:r>
      <w:r w:rsidR="00E406CF">
        <w:rPr>
          <w:szCs w:val="22"/>
        </w:rPr>
        <w:t xml:space="preserve"> with variable schedules</w:t>
      </w:r>
      <w:r w:rsidR="006D3B8D">
        <w:rPr>
          <w:szCs w:val="22"/>
        </w:rPr>
        <w:t>, and s</w:t>
      </w:r>
      <w:r>
        <w:rPr>
          <w:szCs w:val="22"/>
        </w:rPr>
        <w:t>pecial rules apply to multi-employer collective bargaining agreements.</w:t>
      </w:r>
    </w:p>
    <w:p w:rsidR="00A00694" w:rsidRPr="00C159FC" w:rsidRDefault="0059040A" w:rsidP="00C159FC">
      <w:pPr>
        <w:pStyle w:val="BodyText"/>
        <w:spacing w:after="0"/>
        <w:rPr>
          <w:i/>
          <w:sz w:val="26"/>
          <w:szCs w:val="26"/>
        </w:rPr>
      </w:pPr>
      <w:r w:rsidRPr="00C159FC">
        <w:rPr>
          <w:i/>
          <w:sz w:val="26"/>
          <w:szCs w:val="26"/>
        </w:rPr>
        <w:t>Job Protection</w:t>
      </w:r>
    </w:p>
    <w:p w:rsidR="00A00694" w:rsidRPr="004F3D1A" w:rsidRDefault="0059040A" w:rsidP="00C159FC">
      <w:pPr>
        <w:pStyle w:val="BodyText"/>
        <w:spacing w:after="80"/>
        <w:rPr>
          <w:szCs w:val="22"/>
        </w:rPr>
      </w:pPr>
      <w:r>
        <w:rPr>
          <w:szCs w:val="22"/>
        </w:rPr>
        <w:t xml:space="preserve">While FMLA leave is </w:t>
      </w:r>
      <w:r>
        <w:rPr>
          <w:szCs w:val="22"/>
        </w:rPr>
        <w:t>usually job</w:t>
      </w:r>
      <w:r w:rsidR="00C879CB">
        <w:rPr>
          <w:szCs w:val="22"/>
        </w:rPr>
        <w:t>-</w:t>
      </w:r>
      <w:r>
        <w:rPr>
          <w:szCs w:val="22"/>
        </w:rPr>
        <w:t xml:space="preserve">protected, meaning employees who take leave must be restored to their position (or an equivalent) when they return to work, the </w:t>
      </w:r>
      <w:r w:rsidR="00136162">
        <w:rPr>
          <w:szCs w:val="22"/>
        </w:rPr>
        <w:t>new law</w:t>
      </w:r>
      <w:r>
        <w:rPr>
          <w:szCs w:val="22"/>
        </w:rPr>
        <w:t xml:space="preserve"> provides a limited exception to this requirement. Employers with fewer than </w:t>
      </w:r>
      <w:r w:rsidRPr="004615A2">
        <w:rPr>
          <w:b/>
          <w:szCs w:val="22"/>
        </w:rPr>
        <w:t>25 employees</w:t>
      </w:r>
      <w:r>
        <w:rPr>
          <w:szCs w:val="22"/>
        </w:rPr>
        <w:t xml:space="preserve"> are</w:t>
      </w:r>
      <w:r w:rsidRPr="004615A2">
        <w:rPr>
          <w:szCs w:val="22"/>
        </w:rPr>
        <w:t xml:space="preserve"> </w:t>
      </w:r>
      <w:r w:rsidR="004615A2" w:rsidRPr="004236E8">
        <w:rPr>
          <w:b/>
          <w:szCs w:val="22"/>
        </w:rPr>
        <w:t xml:space="preserve">not subject to </w:t>
      </w:r>
      <w:r w:rsidRPr="004236E8">
        <w:rPr>
          <w:b/>
          <w:szCs w:val="22"/>
        </w:rPr>
        <w:t>the job restoration requirement</w:t>
      </w:r>
      <w:r w:rsidR="001B296C">
        <w:rPr>
          <w:szCs w:val="22"/>
        </w:rPr>
        <w:t>,</w:t>
      </w:r>
      <w:r>
        <w:rPr>
          <w:szCs w:val="22"/>
        </w:rPr>
        <w:t xml:space="preserve"> if:</w:t>
      </w:r>
    </w:p>
    <w:p w:rsidR="000278D9" w:rsidRDefault="0059040A" w:rsidP="00C159FC">
      <w:pPr>
        <w:pStyle w:val="Xbox"/>
        <w:spacing w:after="80"/>
        <w:contextualSpacing w:val="0"/>
      </w:pPr>
      <w:r w:rsidRPr="00E16E6C">
        <w:t>Th</w:t>
      </w:r>
      <w:r>
        <w:t>e employee took FMLA leave under the new COVID-19 expansion of the law;</w:t>
      </w:r>
    </w:p>
    <w:p w:rsidR="004615A2" w:rsidRDefault="0059040A" w:rsidP="00C159FC">
      <w:pPr>
        <w:pStyle w:val="Xbox"/>
        <w:spacing w:after="80"/>
        <w:contextualSpacing w:val="0"/>
      </w:pPr>
      <w:r>
        <w:t>The employee’s position no longer exists due to economic conditions or changes in operating conditions of the employer that affect employment and</w:t>
      </w:r>
      <w:r>
        <w:t xml:space="preserve"> are caused by a public health emergency;</w:t>
      </w:r>
    </w:p>
    <w:p w:rsidR="004615A2" w:rsidRDefault="0059040A" w:rsidP="00C159FC">
      <w:pPr>
        <w:pStyle w:val="Xbox"/>
        <w:spacing w:after="80"/>
        <w:contextualSpacing w:val="0"/>
      </w:pPr>
      <w:r>
        <w:t>The employer makes reasonable effort</w:t>
      </w:r>
      <w:r w:rsidR="0014064C">
        <w:t>s</w:t>
      </w:r>
      <w:r>
        <w:t xml:space="preserve"> to restore the employee to an equivalent position; and</w:t>
      </w:r>
    </w:p>
    <w:p w:rsidR="004615A2" w:rsidRDefault="0059040A" w:rsidP="00C159FC">
      <w:pPr>
        <w:pStyle w:val="Xbox"/>
        <w:spacing w:after="80"/>
        <w:contextualSpacing w:val="0"/>
      </w:pPr>
      <w:r>
        <w:t>If th</w:t>
      </w:r>
      <w:r w:rsidR="0049708A">
        <w:t>e</w:t>
      </w:r>
      <w:r>
        <w:t>s</w:t>
      </w:r>
      <w:r w:rsidR="0049708A">
        <w:t>e</w:t>
      </w:r>
      <w:r>
        <w:t xml:space="preserve"> effort</w:t>
      </w:r>
      <w:r w:rsidR="0049708A">
        <w:t>s</w:t>
      </w:r>
      <w:r>
        <w:t xml:space="preserve"> fail, the employer makes reasonable efforts </w:t>
      </w:r>
      <w:r w:rsidR="0014064C">
        <w:t xml:space="preserve">to contact the employee if an equivalent position becomes available. The contact period is for </w:t>
      </w:r>
      <w:r>
        <w:t>one</w:t>
      </w:r>
      <w:r w:rsidR="0014064C">
        <w:t xml:space="preserve"> </w:t>
      </w:r>
      <w:r>
        <w:t>year</w:t>
      </w:r>
      <w:r w:rsidR="0014064C">
        <w:t xml:space="preserve">, </w:t>
      </w:r>
      <w:r>
        <w:t>beginning on the earlier of:</w:t>
      </w:r>
    </w:p>
    <w:p w:rsidR="004615A2" w:rsidRDefault="0059040A" w:rsidP="00C159FC">
      <w:pPr>
        <w:pStyle w:val="Xbox"/>
        <w:numPr>
          <w:ilvl w:val="1"/>
          <w:numId w:val="4"/>
        </w:numPr>
        <w:spacing w:after="80"/>
        <w:contextualSpacing w:val="0"/>
      </w:pPr>
      <w:r>
        <w:t>The date on which the employee’s need for leave ends</w:t>
      </w:r>
    </w:p>
    <w:p w:rsidR="00C84C66" w:rsidRDefault="0059040A" w:rsidP="00C159FC">
      <w:pPr>
        <w:pStyle w:val="Xbox"/>
        <w:numPr>
          <w:ilvl w:val="1"/>
          <w:numId w:val="4"/>
        </w:numPr>
        <w:contextualSpacing w:val="0"/>
      </w:pPr>
      <w:r>
        <w:t>Twelve weeks after the employee’s leave begins</w:t>
      </w:r>
    </w:p>
    <w:p w:rsidR="00C42B3F" w:rsidRDefault="0059040A" w:rsidP="002A5815">
      <w:pPr>
        <w:pStyle w:val="Xbox"/>
        <w:numPr>
          <w:ilvl w:val="0"/>
          <w:numId w:val="0"/>
        </w:numPr>
      </w:pPr>
      <w:r>
        <w:t xml:space="preserve">In addition, DOL </w:t>
      </w:r>
      <w:hyperlink r:id="rId21" w:history="1">
        <w:r w:rsidRPr="002A5815">
          <w:rPr>
            <w:rStyle w:val="Hyperlink"/>
          </w:rPr>
          <w:t>Q&amp;As</w:t>
        </w:r>
      </w:hyperlink>
      <w:r>
        <w:t xml:space="preserve"> on the new law state that employers who can demonstrate that an employee would have been laid off regardless of </w:t>
      </w:r>
      <w:r w:rsidR="009D38FB">
        <w:t>taking</w:t>
      </w:r>
      <w:r>
        <w:t xml:space="preserve"> leave are exempt from the job restoration requirement. The</w:t>
      </w:r>
      <w:r>
        <w:t xml:space="preserve"> Q&amp;As give closure of the worksite as an example of this exemption. Highly compensated “</w:t>
      </w:r>
      <w:r w:rsidRPr="009E02FC">
        <w:rPr>
          <w:b/>
        </w:rPr>
        <w:t>key employees</w:t>
      </w:r>
      <w:r>
        <w:t xml:space="preserve">,” as defined under the FMLA, are also exempt from the </w:t>
      </w:r>
      <w:r w:rsidR="009D38FB">
        <w:t xml:space="preserve">protection of the </w:t>
      </w:r>
      <w:r>
        <w:t xml:space="preserve">job restoration requirement. </w:t>
      </w:r>
    </w:p>
    <w:p w:rsidR="00D55556" w:rsidRDefault="0059040A" w:rsidP="00C84C66">
      <w:pPr>
        <w:pStyle w:val="SubHeader"/>
        <w:rPr>
          <w:b w:val="0"/>
          <w:i/>
          <w:sz w:val="26"/>
          <w:szCs w:val="26"/>
        </w:rPr>
      </w:pPr>
      <w:r w:rsidRPr="00D55556">
        <w:rPr>
          <w:b w:val="0"/>
          <w:i/>
          <w:sz w:val="26"/>
          <w:szCs w:val="26"/>
        </w:rPr>
        <w:t>Tax Credit</w:t>
      </w:r>
    </w:p>
    <w:p w:rsidR="00D55556" w:rsidRPr="00D55556" w:rsidRDefault="0059040A" w:rsidP="00C84C66">
      <w:pPr>
        <w:pStyle w:val="SubHeader"/>
        <w:rPr>
          <w:b w:val="0"/>
          <w:sz w:val="26"/>
          <w:szCs w:val="26"/>
          <w:vertAlign w:val="subscript"/>
        </w:rPr>
      </w:pPr>
      <w:r w:rsidRPr="00D55556">
        <w:rPr>
          <w:b w:val="0"/>
          <w:sz w:val="22"/>
          <w:szCs w:val="22"/>
        </w:rPr>
        <w:t xml:space="preserve">Employers are entitled to a credit against the tax imposed by section 3111(a) or 3221(a) of the IRS Code for each calendar quarter of an amount equal to 100% of qualified </w:t>
      </w:r>
      <w:r w:rsidR="00A33B3A">
        <w:rPr>
          <w:b w:val="0"/>
          <w:sz w:val="22"/>
          <w:szCs w:val="22"/>
        </w:rPr>
        <w:t>family</w:t>
      </w:r>
      <w:r w:rsidRPr="00D55556">
        <w:rPr>
          <w:b w:val="0"/>
          <w:sz w:val="22"/>
          <w:szCs w:val="22"/>
        </w:rPr>
        <w:t xml:space="preserve"> leave wages paid</w:t>
      </w:r>
      <w:r w:rsidRPr="00D55556">
        <w:rPr>
          <w:b w:val="0"/>
          <w:sz w:val="26"/>
          <w:szCs w:val="26"/>
        </w:rPr>
        <w:t>.</w:t>
      </w:r>
      <w:r>
        <w:rPr>
          <w:b w:val="0"/>
          <w:sz w:val="26"/>
          <w:szCs w:val="26"/>
        </w:rPr>
        <w:t xml:space="preserve"> </w:t>
      </w:r>
      <w:r>
        <w:rPr>
          <w:b w:val="0"/>
          <w:sz w:val="22"/>
          <w:szCs w:val="22"/>
        </w:rPr>
        <w:t>Tax credits are also available for self-employed people.</w:t>
      </w:r>
      <w:r>
        <w:rPr>
          <w:b w:val="0"/>
          <w:sz w:val="26"/>
          <w:szCs w:val="26"/>
        </w:rPr>
        <w:t xml:space="preserve"> </w:t>
      </w:r>
    </w:p>
    <w:p w:rsidR="00D55556" w:rsidRPr="00D55556" w:rsidRDefault="00D55556" w:rsidP="00C84C66">
      <w:pPr>
        <w:pStyle w:val="SubHeader"/>
        <w:rPr>
          <w:b w:val="0"/>
          <w:sz w:val="26"/>
          <w:szCs w:val="26"/>
        </w:rPr>
      </w:pPr>
    </w:p>
    <w:p w:rsidR="00C84C66" w:rsidRPr="008A7E71" w:rsidRDefault="0059040A" w:rsidP="00C84C66">
      <w:pPr>
        <w:pStyle w:val="SubHeader"/>
      </w:pPr>
      <w:bookmarkStart w:id="6" w:name="_Hlk36480428"/>
      <w:r>
        <w:t>E</w:t>
      </w:r>
      <w:r>
        <w:t>mergency Paid Sick Leave Act</w:t>
      </w:r>
    </w:p>
    <w:bookmarkEnd w:id="6"/>
    <w:p w:rsidR="0022665B" w:rsidRDefault="0059040A" w:rsidP="00C84C66">
      <w:pPr>
        <w:pStyle w:val="BodyText"/>
        <w:spacing w:after="60"/>
      </w:pPr>
      <w:r>
        <w:t xml:space="preserve">The second </w:t>
      </w:r>
      <w:r w:rsidR="0013247F">
        <w:t xml:space="preserve">federal </w:t>
      </w:r>
      <w:r>
        <w:t>law passed providing paid employee leave</w:t>
      </w:r>
      <w:r w:rsidR="00657E30">
        <w:t xml:space="preserve"> in relation to the coronavirus</w:t>
      </w:r>
      <w:r>
        <w:t xml:space="preserve"> is the Emergency Paid Sick Leave Act. </w:t>
      </w:r>
    </w:p>
    <w:p w:rsidR="0022665B" w:rsidRPr="00C159FC" w:rsidRDefault="0059040A" w:rsidP="00C159FC">
      <w:pPr>
        <w:pStyle w:val="BodyText"/>
        <w:spacing w:after="0"/>
        <w:rPr>
          <w:i/>
          <w:sz w:val="26"/>
          <w:szCs w:val="26"/>
        </w:rPr>
      </w:pPr>
      <w:r w:rsidRPr="00C159FC">
        <w:rPr>
          <w:i/>
          <w:sz w:val="26"/>
          <w:szCs w:val="26"/>
        </w:rPr>
        <w:t>Covered Employers</w:t>
      </w:r>
    </w:p>
    <w:p w:rsidR="0022665B" w:rsidRDefault="0059040A" w:rsidP="00FC3158">
      <w:pPr>
        <w:pStyle w:val="BulletListText"/>
        <w:numPr>
          <w:ilvl w:val="0"/>
          <w:numId w:val="0"/>
        </w:numPr>
      </w:pPr>
      <w:r>
        <w:t xml:space="preserve">The paid sick leave </w:t>
      </w:r>
      <w:r w:rsidR="00657E30">
        <w:t>law</w:t>
      </w:r>
      <w:r>
        <w:t xml:space="preserve"> appl</w:t>
      </w:r>
      <w:r w:rsidR="00657E30">
        <w:t>ies</w:t>
      </w:r>
      <w:r>
        <w:t xml:space="preserve"> to all private employers with </w:t>
      </w:r>
      <w:r w:rsidRPr="0062098D">
        <w:rPr>
          <w:b/>
        </w:rPr>
        <w:t>fewer than 500 em</w:t>
      </w:r>
      <w:r w:rsidRPr="0062098D">
        <w:rPr>
          <w:b/>
        </w:rPr>
        <w:t>ployees</w:t>
      </w:r>
      <w:r>
        <w:t>, and all government employers.</w:t>
      </w:r>
      <w:r w:rsidR="00FC3158">
        <w:t xml:space="preserve"> The law allows for future regulations exempting businesses with fewer than 50 employees from providing leave for </w:t>
      </w:r>
      <w:r w:rsidR="001A365C">
        <w:t xml:space="preserve">specific </w:t>
      </w:r>
      <w:r w:rsidR="00FC3158">
        <w:t xml:space="preserve">child care reasons under certain conditions, described later in this document </w:t>
      </w:r>
      <w:r w:rsidR="004076AE">
        <w:t>in the</w:t>
      </w:r>
      <w:r w:rsidR="00FC3158">
        <w:t xml:space="preserve"> </w:t>
      </w:r>
      <w:r w:rsidR="00FC3158" w:rsidRPr="00FC3158">
        <w:rPr>
          <w:i/>
        </w:rPr>
        <w:t>Using Paid Sick Leave</w:t>
      </w:r>
      <w:r w:rsidR="004076AE">
        <w:rPr>
          <w:i/>
        </w:rPr>
        <w:t xml:space="preserve"> </w:t>
      </w:r>
      <w:r w:rsidR="004076AE" w:rsidRPr="004076AE">
        <w:t>section</w:t>
      </w:r>
      <w:r w:rsidR="00FC3158">
        <w:t>.</w:t>
      </w:r>
    </w:p>
    <w:p w:rsidR="007F3085" w:rsidRPr="00C159FC" w:rsidRDefault="0059040A" w:rsidP="00C159FC">
      <w:pPr>
        <w:pStyle w:val="BodyText"/>
        <w:spacing w:after="0"/>
        <w:rPr>
          <w:i/>
          <w:sz w:val="26"/>
          <w:szCs w:val="26"/>
        </w:rPr>
      </w:pPr>
      <w:r w:rsidRPr="00C159FC">
        <w:rPr>
          <w:i/>
          <w:sz w:val="26"/>
          <w:szCs w:val="26"/>
        </w:rPr>
        <w:t>Covered Employees</w:t>
      </w:r>
    </w:p>
    <w:p w:rsidR="0036666E" w:rsidRPr="0036666E" w:rsidRDefault="0059040A" w:rsidP="0036666E">
      <w:pPr>
        <w:pStyle w:val="BodyText"/>
        <w:rPr>
          <w:szCs w:val="22"/>
        </w:rPr>
      </w:pPr>
      <w:r>
        <w:t>All employees are covered</w:t>
      </w:r>
      <w:r w:rsidR="00ED7B56">
        <w:t xml:space="preserve"> by the Emergency Paid Sick Leave Act</w:t>
      </w:r>
      <w:r>
        <w:t xml:space="preserve">, regardless of the length of their employment with their current employer. However, </w:t>
      </w:r>
      <w:r w:rsidR="00D01AEC">
        <w:t xml:space="preserve">as with the expanded FMLA leave, </w:t>
      </w:r>
      <w:r>
        <w:t xml:space="preserve">employers may choose not to provide paid sick leave to employees who are </w:t>
      </w:r>
      <w:r w:rsidRPr="008120A4">
        <w:rPr>
          <w:b/>
        </w:rPr>
        <w:t>health care providers</w:t>
      </w:r>
      <w:r>
        <w:t xml:space="preserve"> or </w:t>
      </w:r>
      <w:r w:rsidRPr="008120A4">
        <w:rPr>
          <w:b/>
        </w:rPr>
        <w:t>emergency responder</w:t>
      </w:r>
      <w:r w:rsidR="002A30B0">
        <w:rPr>
          <w:b/>
        </w:rPr>
        <w:t xml:space="preserve">s. </w:t>
      </w:r>
      <w:r w:rsidR="002A30B0">
        <w:t xml:space="preserve">As with the exemption to expanded FMLA leave, </w:t>
      </w:r>
      <w:r>
        <w:rPr>
          <w:szCs w:val="22"/>
        </w:rPr>
        <w:t xml:space="preserve">DOL </w:t>
      </w:r>
      <w:hyperlink r:id="rId22" w:history="1">
        <w:r w:rsidRPr="0036666E">
          <w:rPr>
            <w:rStyle w:val="Hyperlink"/>
            <w:szCs w:val="22"/>
          </w:rPr>
          <w:t>Q&amp;As</w:t>
        </w:r>
      </w:hyperlink>
      <w:r w:rsidR="002D23E0">
        <w:rPr>
          <w:szCs w:val="22"/>
        </w:rPr>
        <w:t xml:space="preserve"> </w:t>
      </w:r>
      <w:r w:rsidR="002A30B0">
        <w:rPr>
          <w:szCs w:val="22"/>
        </w:rPr>
        <w:t>define these workers as</w:t>
      </w:r>
      <w:r w:rsidR="00D01AEC">
        <w:rPr>
          <w:szCs w:val="22"/>
        </w:rPr>
        <w:t xml:space="preserve"> </w:t>
      </w:r>
      <w:r w:rsidRPr="0036666E">
        <w:rPr>
          <w:szCs w:val="22"/>
        </w:rPr>
        <w:t>anyone employed at any doctor’s office, hospital, health care center, clinic, post-secondary educational institution offe</w:t>
      </w:r>
      <w:r w:rsidRPr="0036666E">
        <w:rPr>
          <w:szCs w:val="22"/>
        </w:rPr>
        <w:t xml:space="preserve">ring health care instruction, medical school, local health department or agency, </w:t>
      </w:r>
      <w:r w:rsidRPr="0036666E">
        <w:rPr>
          <w:szCs w:val="22"/>
        </w:rPr>
        <w:lastRenderedPageBreak/>
        <w:t>nursing facility, retirement facility, nursing home, home health care provider, any facility that performs laboratory or medical testing, pharmacy, or any similar institution,</w:t>
      </w:r>
      <w:r w:rsidRPr="0036666E">
        <w:rPr>
          <w:szCs w:val="22"/>
        </w:rPr>
        <w:t xml:space="preserve"> employer, or entity. This includes any permanent or temporary institution, facility, location, or site where medical services are provided that are similar to such institutions. </w:t>
      </w:r>
    </w:p>
    <w:p w:rsidR="0036666E" w:rsidRPr="0036666E" w:rsidRDefault="0059040A" w:rsidP="0036666E">
      <w:pPr>
        <w:pStyle w:val="BodyText"/>
      </w:pPr>
      <w:r>
        <w:t>The defi</w:t>
      </w:r>
      <w:r w:rsidRPr="0036666E">
        <w:t xml:space="preserve">nition </w:t>
      </w:r>
      <w:r>
        <w:t xml:space="preserve">also </w:t>
      </w:r>
      <w:r w:rsidRPr="0036666E">
        <w:t>includes any individual employed by an entity that contr</w:t>
      </w:r>
      <w:r w:rsidRPr="0036666E">
        <w:t xml:space="preserve">acts with any of the above institutions, employers, or entities to provide services or maintain the operation of the facility. </w:t>
      </w:r>
      <w:r>
        <w:t>It</w:t>
      </w:r>
      <w:r w:rsidRPr="0036666E">
        <w:t xml:space="preserve"> also includes anyone employed by any entity that provides medical services, produces medical products, or is otherwise involve</w:t>
      </w:r>
      <w:r w:rsidRPr="0036666E">
        <w:t>d in the making of COVID-19</w:t>
      </w:r>
      <w:r>
        <w:t>-</w:t>
      </w:r>
      <w:r w:rsidRPr="0036666E">
        <w:t>related medical equipment, tests, drugs, vaccines, diagnostic vehicles, or treatments. This also includes any individual that the highest official of a state or territory, including the District of Columbia, determines is a heal</w:t>
      </w:r>
      <w:r w:rsidRPr="0036666E">
        <w:t>th care provider necessary for that state’s or territory’s</w:t>
      </w:r>
      <w:r>
        <w:t xml:space="preserve">—or </w:t>
      </w:r>
      <w:r w:rsidRPr="0036666E">
        <w:t>the District of Columbia’s</w:t>
      </w:r>
      <w:r>
        <w:t>—response</w:t>
      </w:r>
      <w:r w:rsidRPr="0036666E">
        <w:t xml:space="preserve"> to COVID-19.</w:t>
      </w:r>
    </w:p>
    <w:p w:rsidR="003075C4" w:rsidRDefault="0059040A" w:rsidP="0022665B">
      <w:pPr>
        <w:pStyle w:val="BodyText"/>
      </w:pPr>
      <w:r>
        <w:t>DOL</w:t>
      </w:r>
      <w:r w:rsidRPr="0036666E">
        <w:t xml:space="preserve"> encourages employers to be judicious using this definition to exempt health care providers from the provisions of the </w:t>
      </w:r>
      <w:r w:rsidR="00081AF4">
        <w:t>law</w:t>
      </w:r>
      <w:r w:rsidRPr="0036666E">
        <w:t>.</w:t>
      </w:r>
    </w:p>
    <w:p w:rsidR="00A97FDC" w:rsidRPr="00A97FDC" w:rsidRDefault="0059040A" w:rsidP="0022665B">
      <w:pPr>
        <w:pStyle w:val="BodyText"/>
        <w:rPr>
          <w:b/>
        </w:rPr>
      </w:pPr>
      <w:r>
        <w:t xml:space="preserve">Most </w:t>
      </w:r>
      <w:r w:rsidRPr="00ED7B56">
        <w:rPr>
          <w:b/>
        </w:rPr>
        <w:t xml:space="preserve">government </w:t>
      </w:r>
      <w:r w:rsidRPr="00ED7B56">
        <w:rPr>
          <w:b/>
        </w:rPr>
        <w:t>employees</w:t>
      </w:r>
      <w:r>
        <w:t xml:space="preserve"> are covered by the </w:t>
      </w:r>
      <w:r w:rsidRPr="00A97FDC">
        <w:t>Emergency Paid Sick Leave Act</w:t>
      </w:r>
      <w:r>
        <w:t>.</w:t>
      </w:r>
    </w:p>
    <w:p w:rsidR="002F3982" w:rsidRPr="00C159FC" w:rsidRDefault="0059040A" w:rsidP="00C159FC">
      <w:pPr>
        <w:pStyle w:val="BodyText"/>
        <w:spacing w:after="0"/>
        <w:rPr>
          <w:i/>
          <w:sz w:val="26"/>
          <w:szCs w:val="26"/>
        </w:rPr>
      </w:pPr>
      <w:r w:rsidRPr="00C159FC">
        <w:rPr>
          <w:i/>
          <w:sz w:val="26"/>
          <w:szCs w:val="26"/>
        </w:rPr>
        <w:t>Using Paid Sick Leave</w:t>
      </w:r>
    </w:p>
    <w:p w:rsidR="00C62474" w:rsidRDefault="0059040A" w:rsidP="0022665B">
      <w:pPr>
        <w:pStyle w:val="BodyText"/>
      </w:pPr>
      <w:r>
        <w:t xml:space="preserve">All </w:t>
      </w:r>
      <w:r w:rsidR="003075C4">
        <w:t>full-time em</w:t>
      </w:r>
      <w:r>
        <w:t>ployees</w:t>
      </w:r>
      <w:r w:rsidR="00E55491">
        <w:t xml:space="preserve"> </w:t>
      </w:r>
      <w:r w:rsidR="006C5829">
        <w:t>(</w:t>
      </w:r>
      <w:r w:rsidR="00E55491">
        <w:t>normally scheduled to work 40 or more hours per week)</w:t>
      </w:r>
      <w:r>
        <w:t xml:space="preserve">, are entitled to </w:t>
      </w:r>
      <w:r w:rsidRPr="003075C4">
        <w:rPr>
          <w:b/>
        </w:rPr>
        <w:t>80 hours</w:t>
      </w:r>
      <w:r>
        <w:t xml:space="preserve"> of paid sick time</w:t>
      </w:r>
      <w:r w:rsidR="00E14A7B">
        <w:t>, available for immediate use</w:t>
      </w:r>
      <w:r w:rsidR="00E55491">
        <w:t>, regardless of the length of time they have worked for their employer</w:t>
      </w:r>
      <w:r w:rsidR="003075C4">
        <w:t>.</w:t>
      </w:r>
      <w:r>
        <w:t xml:space="preserve"> </w:t>
      </w:r>
      <w:r w:rsidR="003075C4">
        <w:t xml:space="preserve">Part-time employees </w:t>
      </w:r>
      <w:r w:rsidR="00E55491">
        <w:t xml:space="preserve">(normally scheduled to work fewer than 40 hours per week) </w:t>
      </w:r>
      <w:r w:rsidR="003075C4">
        <w:t xml:space="preserve">are entitled to an amount of paid sick time equal to the </w:t>
      </w:r>
      <w:r w:rsidR="00765CAD">
        <w:t xml:space="preserve">average </w:t>
      </w:r>
      <w:r w:rsidR="003075C4">
        <w:t>number of hours they work</w:t>
      </w:r>
      <w:r w:rsidR="00765CAD">
        <w:t xml:space="preserve"> </w:t>
      </w:r>
      <w:r w:rsidR="003075C4">
        <w:t xml:space="preserve">over a two-week period. </w:t>
      </w:r>
    </w:p>
    <w:p w:rsidR="002F3982" w:rsidRDefault="0059040A" w:rsidP="0022665B">
      <w:pPr>
        <w:pStyle w:val="BodyText"/>
      </w:pPr>
      <w:r>
        <w:t>Paid sick tim</w:t>
      </w:r>
      <w:r>
        <w:t>e may be taken when the employee:</w:t>
      </w:r>
    </w:p>
    <w:p w:rsidR="00647961" w:rsidRDefault="0059040A" w:rsidP="00C159FC">
      <w:pPr>
        <w:pStyle w:val="BulletListText"/>
        <w:numPr>
          <w:ilvl w:val="0"/>
          <w:numId w:val="16"/>
        </w:numPr>
        <w:spacing w:after="80"/>
        <w:contextualSpacing w:val="0"/>
      </w:pPr>
      <w:r>
        <w:t>Is subject to a federal, state or local quarantine or isolation order related to COVID-19</w:t>
      </w:r>
    </w:p>
    <w:p w:rsidR="00647961" w:rsidRDefault="0059040A" w:rsidP="00C159FC">
      <w:pPr>
        <w:pStyle w:val="BulletListText"/>
        <w:numPr>
          <w:ilvl w:val="0"/>
          <w:numId w:val="16"/>
        </w:numPr>
        <w:spacing w:after="80"/>
        <w:contextualSpacing w:val="0"/>
      </w:pPr>
      <w:r>
        <w:t>Has been advised by a health care provider to self-quarantine due to concerns related to COVID-19</w:t>
      </w:r>
    </w:p>
    <w:p w:rsidR="00647961" w:rsidRDefault="0059040A" w:rsidP="00C159FC">
      <w:pPr>
        <w:pStyle w:val="BulletListText"/>
        <w:numPr>
          <w:ilvl w:val="0"/>
          <w:numId w:val="16"/>
        </w:numPr>
        <w:spacing w:after="80"/>
        <w:contextualSpacing w:val="0"/>
      </w:pPr>
      <w:r>
        <w:t xml:space="preserve">Is experiencing symptoms of </w:t>
      </w:r>
      <w:r>
        <w:t>COVID-19 and is seeking a medical diagnosis</w:t>
      </w:r>
    </w:p>
    <w:p w:rsidR="00647961" w:rsidRDefault="0059040A" w:rsidP="00C159FC">
      <w:pPr>
        <w:pStyle w:val="BulletListText"/>
        <w:numPr>
          <w:ilvl w:val="0"/>
          <w:numId w:val="16"/>
        </w:numPr>
        <w:spacing w:after="80"/>
        <w:contextualSpacing w:val="0"/>
      </w:pPr>
      <w:r>
        <w:t>Is caring for an individual who is subject to a federal, state or local quarantine or isolation order related to COVID-19, or who has been advised by a health care provider to self-quarantine</w:t>
      </w:r>
    </w:p>
    <w:p w:rsidR="00647961" w:rsidRDefault="0059040A" w:rsidP="00C159FC">
      <w:pPr>
        <w:pStyle w:val="BulletListText"/>
        <w:numPr>
          <w:ilvl w:val="0"/>
          <w:numId w:val="16"/>
        </w:numPr>
        <w:spacing w:after="80"/>
        <w:contextualSpacing w:val="0"/>
      </w:pPr>
      <w:r>
        <w:t xml:space="preserve">Is caring for </w:t>
      </w:r>
      <w:r w:rsidR="00A237FF">
        <w:t>his or her son or daughter</w:t>
      </w:r>
      <w:r>
        <w:t xml:space="preserve"> if the child’s school or place of care has closed, or the child’s care provider is unavailable, because of COVID-19 precautions</w:t>
      </w:r>
    </w:p>
    <w:p w:rsidR="003117A5" w:rsidRDefault="0059040A" w:rsidP="00647961">
      <w:pPr>
        <w:pStyle w:val="BulletListText"/>
        <w:numPr>
          <w:ilvl w:val="0"/>
          <w:numId w:val="16"/>
        </w:numPr>
      </w:pPr>
      <w:r>
        <w:t>Is experiencing another substantially similar condition specified by the Secretary of Health and Human Serv</w:t>
      </w:r>
      <w:r>
        <w:t>ices</w:t>
      </w:r>
      <w:r w:rsidR="00453953">
        <w:t xml:space="preserve"> (HHS)</w:t>
      </w:r>
      <w:r w:rsidR="002D5FF8">
        <w:br/>
      </w:r>
    </w:p>
    <w:p w:rsidR="00604A7D" w:rsidRDefault="0059040A" w:rsidP="00604A7D">
      <w:pPr>
        <w:pStyle w:val="BulletListText"/>
        <w:numPr>
          <w:ilvl w:val="0"/>
          <w:numId w:val="0"/>
        </w:numPr>
      </w:pPr>
      <w:r>
        <w:t xml:space="preserve">DOL </w:t>
      </w:r>
      <w:hyperlink r:id="rId23" w:history="1">
        <w:r w:rsidRPr="00520FE5">
          <w:rPr>
            <w:rStyle w:val="Hyperlink"/>
          </w:rPr>
          <w:t>Q&amp;As</w:t>
        </w:r>
      </w:hyperlink>
      <w:r>
        <w:t xml:space="preserve"> clarify that “son or daughter” means the employee’s own child, including a biological, adopted, or foster child; a stepchild; a legal ward; or a child for whom t</w:t>
      </w:r>
      <w:r>
        <w:t xml:space="preserve">he employee is standing in loco parentis. </w:t>
      </w:r>
      <w:r w:rsidR="0059539D">
        <w:t>C</w:t>
      </w:r>
      <w:r>
        <w:t xml:space="preserve">hildren </w:t>
      </w:r>
      <w:r w:rsidR="0059539D">
        <w:t xml:space="preserve">18 or over </w:t>
      </w:r>
      <w:r>
        <w:t>are included if they have a disability that renders them incapable of self care.</w:t>
      </w:r>
    </w:p>
    <w:p w:rsidR="00604A7D" w:rsidRDefault="00604A7D" w:rsidP="00604A7D">
      <w:pPr>
        <w:pStyle w:val="BulletListText"/>
        <w:numPr>
          <w:ilvl w:val="0"/>
          <w:numId w:val="0"/>
        </w:numPr>
      </w:pPr>
    </w:p>
    <w:p w:rsidR="00F7226B" w:rsidRPr="002016B5" w:rsidRDefault="0059040A" w:rsidP="00604A7D">
      <w:pPr>
        <w:pStyle w:val="BulletListText"/>
        <w:numPr>
          <w:ilvl w:val="0"/>
          <w:numId w:val="0"/>
        </w:numPr>
      </w:pPr>
      <w:r>
        <w:t xml:space="preserve">The law allows for future regulations </w:t>
      </w:r>
      <w:r w:rsidRPr="00F7226B">
        <w:rPr>
          <w:b/>
        </w:rPr>
        <w:t>exempting businesses with fewer than 50</w:t>
      </w:r>
      <w:r>
        <w:t xml:space="preserve"> </w:t>
      </w:r>
      <w:r w:rsidRPr="00500EDF">
        <w:rPr>
          <w:b/>
        </w:rPr>
        <w:t xml:space="preserve">employees </w:t>
      </w:r>
      <w:r>
        <w:t xml:space="preserve">from providing </w:t>
      </w:r>
      <w:r>
        <w:t>leave</w:t>
      </w:r>
      <w:r w:rsidR="00F90234">
        <w:t xml:space="preserve"> </w:t>
      </w:r>
      <w:r w:rsidR="00814E14">
        <w:t>related to school or child care unavailability (</w:t>
      </w:r>
      <w:r w:rsidR="008120A4">
        <w:t>reason</w:t>
      </w:r>
      <w:r w:rsidR="00F90234">
        <w:t xml:space="preserve"> 5, a</w:t>
      </w:r>
      <w:r>
        <w:t>b</w:t>
      </w:r>
      <w:r w:rsidR="00F90234">
        <w:t>ove</w:t>
      </w:r>
      <w:r w:rsidR="00814E14">
        <w:t>)</w:t>
      </w:r>
      <w:r w:rsidR="00EC4EE8">
        <w:t xml:space="preserve">, </w:t>
      </w:r>
      <w:r w:rsidR="00FC3158" w:rsidRPr="00D01AEC">
        <w:t>if</w:t>
      </w:r>
      <w:r w:rsidR="00FC3158">
        <w:t xml:space="preserve"> the leave would jeopardize the viability of the business</w:t>
      </w:r>
      <w:r w:rsidR="009730F6">
        <w:t xml:space="preserve"> as a going concern</w:t>
      </w:r>
      <w:r w:rsidR="00FC3158">
        <w:t>.</w:t>
      </w:r>
      <w:r>
        <w:t xml:space="preserve"> According to DOL </w:t>
      </w:r>
      <w:hyperlink r:id="rId24" w:anchor="58" w:history="1">
        <w:r w:rsidRPr="002016B5">
          <w:rPr>
            <w:rStyle w:val="Hyperlink"/>
          </w:rPr>
          <w:t>guidance</w:t>
        </w:r>
      </w:hyperlink>
      <w:r>
        <w:t>,</w:t>
      </w:r>
      <w:r w:rsidR="00D01AEC">
        <w:t xml:space="preserve"> </w:t>
      </w:r>
      <w:r w:rsidRPr="002016B5">
        <w:t>th</w:t>
      </w:r>
      <w:r w:rsidR="00D01AEC">
        <w:t>e</w:t>
      </w:r>
      <w:r w:rsidRPr="002016B5">
        <w:t xml:space="preserve"> exemption </w:t>
      </w:r>
      <w:r w:rsidR="006C5829">
        <w:t xml:space="preserve">may be claimed </w:t>
      </w:r>
      <w:r w:rsidRPr="002016B5">
        <w:t>if an authorized officer of the business has determined that</w:t>
      </w:r>
      <w:r w:rsidR="00AE731C">
        <w:t xml:space="preserve"> one of the following conditions is satisfied</w:t>
      </w:r>
      <w:r w:rsidRPr="002016B5">
        <w:t>:</w:t>
      </w:r>
    </w:p>
    <w:p w:rsidR="00F7226B" w:rsidRDefault="0059040A" w:rsidP="00F7226B">
      <w:pPr>
        <w:pStyle w:val="Checkbox"/>
        <w:spacing w:after="80"/>
        <w:contextualSpacing w:val="0"/>
      </w:pPr>
      <w:r w:rsidRPr="002016B5">
        <w:t xml:space="preserve">The provision of paid sick leave would result in the small business’s expenses and financial obligations exceeding </w:t>
      </w:r>
      <w:r w:rsidRPr="002016B5">
        <w:t>available business revenues and cause the small business to cease operating at a minimal capacity;  </w:t>
      </w:r>
    </w:p>
    <w:p w:rsidR="00F7226B" w:rsidRPr="002016B5" w:rsidRDefault="0059040A" w:rsidP="00F7226B">
      <w:pPr>
        <w:pStyle w:val="Checkbox"/>
      </w:pPr>
      <w:r w:rsidRPr="002016B5">
        <w:lastRenderedPageBreak/>
        <w:t>The absence of the employee or employees requesting paid sick l</w:t>
      </w:r>
      <w:r w:rsidR="00103F8C">
        <w:t>eave</w:t>
      </w:r>
      <w:r w:rsidRPr="002016B5">
        <w:t xml:space="preserve"> would entail a substantial risk to the financial health or operational capabilities of </w:t>
      </w:r>
      <w:r w:rsidRPr="002016B5">
        <w:t xml:space="preserve">the small business because of their specialized skills, knowledge of the business, or responsibilities; </w:t>
      </w:r>
      <w:r w:rsidRPr="00AE731C">
        <w:rPr>
          <w:b/>
        </w:rPr>
        <w:t>or  </w:t>
      </w:r>
    </w:p>
    <w:p w:rsidR="00814E14" w:rsidRDefault="0059040A" w:rsidP="006D3B8D">
      <w:pPr>
        <w:pStyle w:val="Checkbox"/>
      </w:pPr>
      <w:r w:rsidRPr="002016B5">
        <w:t>There are not sufficient workers who are able, willing, and qualified, and who will be available at the time and place needed, to perform the labor</w:t>
      </w:r>
      <w:r w:rsidRPr="002016B5">
        <w:t xml:space="preserve"> or services provided by the employee or employees requesting paid sick leave, and these labor or services are needed for the small business to operate at a minimal capacity.</w:t>
      </w:r>
    </w:p>
    <w:p w:rsidR="002D5FF8" w:rsidRPr="005B652B" w:rsidRDefault="0059040A" w:rsidP="002D5FF8">
      <w:pPr>
        <w:pStyle w:val="Checkbox"/>
        <w:numPr>
          <w:ilvl w:val="0"/>
          <w:numId w:val="0"/>
        </w:numPr>
        <w:rPr>
          <w:szCs w:val="22"/>
        </w:rPr>
      </w:pPr>
      <w:r>
        <w:br/>
      </w:r>
      <w:r w:rsidR="008705A5">
        <w:t xml:space="preserve">Employers may not require employees to use other paid leave before using paid leave under the new law; however, </w:t>
      </w:r>
      <w:r w:rsidR="008705A5">
        <w:rPr>
          <w:szCs w:val="22"/>
        </w:rPr>
        <w:t xml:space="preserve">an employer may require an employee to follow reasonable </w:t>
      </w:r>
      <w:r w:rsidR="008705A5" w:rsidRPr="008120A4">
        <w:rPr>
          <w:b/>
          <w:szCs w:val="22"/>
        </w:rPr>
        <w:t>notice</w:t>
      </w:r>
      <w:r w:rsidR="008705A5">
        <w:rPr>
          <w:szCs w:val="22"/>
        </w:rPr>
        <w:t xml:space="preserve"> procedures after taking leave </w:t>
      </w:r>
      <w:r w:rsidR="00604A7D">
        <w:rPr>
          <w:szCs w:val="22"/>
        </w:rPr>
        <w:t xml:space="preserve">for </w:t>
      </w:r>
      <w:r w:rsidR="008705A5">
        <w:rPr>
          <w:szCs w:val="22"/>
        </w:rPr>
        <w:t>the first time.</w:t>
      </w:r>
    </w:p>
    <w:p w:rsidR="006C5829" w:rsidRDefault="0059040A" w:rsidP="00604A7D">
      <w:pPr>
        <w:pStyle w:val="BodyText"/>
        <w:spacing w:after="0"/>
        <w:rPr>
          <w:i/>
          <w:sz w:val="26"/>
          <w:szCs w:val="26"/>
        </w:rPr>
      </w:pPr>
      <w:r w:rsidRPr="00C159FC">
        <w:rPr>
          <w:i/>
          <w:sz w:val="26"/>
          <w:szCs w:val="26"/>
        </w:rPr>
        <w:t>Compensation</w:t>
      </w:r>
    </w:p>
    <w:p w:rsidR="006C5829" w:rsidRDefault="0059040A" w:rsidP="00604A7D">
      <w:pPr>
        <w:pStyle w:val="BodyText"/>
        <w:spacing w:after="0"/>
        <w:rPr>
          <w:i/>
          <w:sz w:val="26"/>
          <w:szCs w:val="26"/>
        </w:rPr>
      </w:pPr>
      <w:r>
        <w:t xml:space="preserve">Employee compensation under the Emergency Paid Sick Leave Act </w:t>
      </w:r>
      <w:r w:rsidR="006D393F">
        <w:t>varies according to the reason for the leave, as set forth in the table below:</w:t>
      </w:r>
    </w:p>
    <w:p w:rsidR="008A7E71" w:rsidRPr="00604A7D" w:rsidRDefault="008A7E71" w:rsidP="00604A7D">
      <w:pPr>
        <w:pStyle w:val="BodyText"/>
        <w:spacing w:after="0"/>
        <w:rPr>
          <w:i/>
          <w:sz w:val="26"/>
          <w:szCs w:val="26"/>
        </w:rPr>
      </w:pPr>
    </w:p>
    <w:tbl>
      <w:tblPr>
        <w:tblStyle w:val="TableGrid"/>
        <w:tblpPr w:leftFromText="180" w:rightFromText="180" w:vertAnchor="text" w:horzAnchor="page" w:tblpX="791" w:tblpY="-27"/>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tblLook w:val="0480" w:firstRow="0" w:lastRow="0" w:firstColumn="1" w:lastColumn="0" w:noHBand="0" w:noVBand="1"/>
      </w:tblPr>
      <w:tblGrid>
        <w:gridCol w:w="4090"/>
        <w:gridCol w:w="3730"/>
        <w:gridCol w:w="2880"/>
      </w:tblGrid>
      <w:tr w:rsidR="00146D89" w:rsidTr="007A449D">
        <w:trPr>
          <w:trHeight w:val="540"/>
        </w:trPr>
        <w:tc>
          <w:tcPr>
            <w:tcW w:w="4090" w:type="dxa"/>
            <w:shd w:val="clear" w:color="auto" w:fill="6F61B0"/>
            <w:vAlign w:val="center"/>
          </w:tcPr>
          <w:p w:rsidR="008D61EB" w:rsidRPr="00C84C66" w:rsidRDefault="0059040A" w:rsidP="007A449D">
            <w:pPr>
              <w:pStyle w:val="TableHeader"/>
              <w:spacing w:before="120" w:after="120"/>
            </w:pPr>
            <w:r>
              <w:t>Reason for leave</w:t>
            </w:r>
          </w:p>
        </w:tc>
        <w:tc>
          <w:tcPr>
            <w:tcW w:w="3730" w:type="dxa"/>
            <w:shd w:val="clear" w:color="auto" w:fill="6F61B0"/>
            <w:vAlign w:val="center"/>
          </w:tcPr>
          <w:p w:rsidR="008D61EB" w:rsidRDefault="0059040A" w:rsidP="007A449D">
            <w:pPr>
              <w:pStyle w:val="TableHeader"/>
              <w:spacing w:before="120" w:after="120"/>
            </w:pPr>
            <w:r w:rsidRPr="000F3E81">
              <w:t xml:space="preserve">Daily pay </w:t>
            </w:r>
            <w:r w:rsidR="00332BC1">
              <w:t>rate/</w:t>
            </w:r>
            <w:r w:rsidRPr="000F3E81">
              <w:t>cap</w:t>
            </w:r>
          </w:p>
        </w:tc>
        <w:tc>
          <w:tcPr>
            <w:tcW w:w="2880" w:type="dxa"/>
            <w:shd w:val="clear" w:color="auto" w:fill="6F61B0"/>
            <w:vAlign w:val="center"/>
          </w:tcPr>
          <w:p w:rsidR="008D61EB" w:rsidRDefault="0059040A" w:rsidP="007A449D">
            <w:pPr>
              <w:pStyle w:val="TableHeader"/>
              <w:spacing w:before="120" w:after="120"/>
            </w:pPr>
            <w:r>
              <w:t>Total pay cap</w:t>
            </w:r>
          </w:p>
        </w:tc>
      </w:tr>
      <w:tr w:rsidR="00146D89" w:rsidTr="007A449D">
        <w:trPr>
          <w:trHeight w:val="748"/>
        </w:trPr>
        <w:tc>
          <w:tcPr>
            <w:tcW w:w="4090" w:type="dxa"/>
            <w:shd w:val="clear" w:color="auto" w:fill="D0CCE6"/>
            <w:vAlign w:val="center"/>
          </w:tcPr>
          <w:p w:rsidR="00453953" w:rsidRDefault="0059040A" w:rsidP="007A449D">
            <w:pPr>
              <w:pStyle w:val="BulletListText"/>
              <w:numPr>
                <w:ilvl w:val="0"/>
                <w:numId w:val="0"/>
              </w:numPr>
              <w:spacing w:before="120" w:after="120"/>
              <w:jc w:val="center"/>
            </w:pPr>
            <w:r>
              <w:t>Quarantine or isolation order</w:t>
            </w:r>
          </w:p>
        </w:tc>
        <w:tc>
          <w:tcPr>
            <w:tcW w:w="3730" w:type="dxa"/>
            <w:vMerge w:val="restart"/>
            <w:shd w:val="clear" w:color="auto" w:fill="D0CCE6"/>
            <w:vAlign w:val="center"/>
          </w:tcPr>
          <w:p w:rsidR="00453953" w:rsidRDefault="0059040A" w:rsidP="00C159FC">
            <w:pPr>
              <w:pStyle w:val="BodyText"/>
              <w:spacing w:before="120" w:after="120"/>
              <w:jc w:val="center"/>
            </w:pPr>
            <w:r>
              <w:t xml:space="preserve">Regular rate of pay up to a cap of </w:t>
            </w:r>
            <w:r w:rsidRPr="007A449D">
              <w:rPr>
                <w:b/>
              </w:rPr>
              <w:t>$511</w:t>
            </w:r>
          </w:p>
          <w:p w:rsidR="00453953" w:rsidRDefault="00453953" w:rsidP="007A449D">
            <w:pPr>
              <w:pStyle w:val="BodyText"/>
              <w:spacing w:before="120" w:after="120"/>
              <w:jc w:val="center"/>
            </w:pPr>
          </w:p>
        </w:tc>
        <w:tc>
          <w:tcPr>
            <w:tcW w:w="2880" w:type="dxa"/>
            <w:vMerge w:val="restart"/>
            <w:shd w:val="clear" w:color="auto" w:fill="D0CCE6"/>
            <w:vAlign w:val="center"/>
          </w:tcPr>
          <w:p w:rsidR="00453953" w:rsidRDefault="0059040A" w:rsidP="007A449D">
            <w:pPr>
              <w:pStyle w:val="BodyText"/>
              <w:spacing w:before="120" w:after="120"/>
              <w:jc w:val="center"/>
            </w:pPr>
            <w:r w:rsidRPr="007A449D">
              <w:rPr>
                <w:b/>
              </w:rPr>
              <w:t>$5,110</w:t>
            </w:r>
          </w:p>
        </w:tc>
      </w:tr>
      <w:tr w:rsidR="00146D89" w:rsidTr="007A449D">
        <w:trPr>
          <w:trHeight w:val="740"/>
        </w:trPr>
        <w:tc>
          <w:tcPr>
            <w:tcW w:w="4090" w:type="dxa"/>
            <w:shd w:val="clear" w:color="auto" w:fill="D0CCE6"/>
            <w:vAlign w:val="center"/>
          </w:tcPr>
          <w:p w:rsidR="00453953" w:rsidRDefault="0059040A" w:rsidP="007A449D">
            <w:pPr>
              <w:pStyle w:val="BulletListText"/>
              <w:numPr>
                <w:ilvl w:val="0"/>
                <w:numId w:val="0"/>
              </w:numPr>
              <w:spacing w:before="120" w:after="120"/>
              <w:jc w:val="center"/>
            </w:pPr>
            <w:r>
              <w:t>Advice from health care provider to self-quarantine</w:t>
            </w:r>
          </w:p>
        </w:tc>
        <w:tc>
          <w:tcPr>
            <w:tcW w:w="3730" w:type="dxa"/>
            <w:vMerge/>
            <w:shd w:val="clear" w:color="auto" w:fill="D0CCE6"/>
            <w:vAlign w:val="center"/>
          </w:tcPr>
          <w:p w:rsidR="00453953" w:rsidRDefault="00453953" w:rsidP="007A449D">
            <w:pPr>
              <w:pStyle w:val="BodyText"/>
              <w:spacing w:before="120" w:after="120"/>
              <w:jc w:val="center"/>
            </w:pPr>
          </w:p>
        </w:tc>
        <w:tc>
          <w:tcPr>
            <w:tcW w:w="2880" w:type="dxa"/>
            <w:vMerge/>
            <w:shd w:val="clear" w:color="auto" w:fill="D0CCE6"/>
            <w:vAlign w:val="center"/>
          </w:tcPr>
          <w:p w:rsidR="00453953" w:rsidRDefault="00453953" w:rsidP="007A449D">
            <w:pPr>
              <w:pStyle w:val="BodyText"/>
              <w:spacing w:before="120" w:after="120"/>
              <w:jc w:val="center"/>
            </w:pPr>
          </w:p>
        </w:tc>
      </w:tr>
      <w:tr w:rsidR="00146D89" w:rsidTr="007A449D">
        <w:trPr>
          <w:trHeight w:val="1093"/>
        </w:trPr>
        <w:tc>
          <w:tcPr>
            <w:tcW w:w="4090" w:type="dxa"/>
            <w:shd w:val="clear" w:color="auto" w:fill="D0CCE6"/>
            <w:vAlign w:val="center"/>
          </w:tcPr>
          <w:p w:rsidR="00453953" w:rsidRDefault="0059040A" w:rsidP="007A449D">
            <w:pPr>
              <w:pStyle w:val="BodyText"/>
              <w:spacing w:before="120" w:after="120"/>
              <w:jc w:val="center"/>
            </w:pPr>
            <w:r>
              <w:t>Experiencing symptoms of COVID-19 and seeking a medical diagnosis</w:t>
            </w:r>
          </w:p>
        </w:tc>
        <w:tc>
          <w:tcPr>
            <w:tcW w:w="3730" w:type="dxa"/>
            <w:vMerge/>
            <w:shd w:val="clear" w:color="auto" w:fill="D0CCE6"/>
            <w:vAlign w:val="center"/>
          </w:tcPr>
          <w:p w:rsidR="00453953" w:rsidRDefault="00453953" w:rsidP="007A449D">
            <w:pPr>
              <w:pStyle w:val="BodyText"/>
              <w:spacing w:before="120" w:after="120"/>
              <w:jc w:val="center"/>
            </w:pPr>
          </w:p>
        </w:tc>
        <w:tc>
          <w:tcPr>
            <w:tcW w:w="2880" w:type="dxa"/>
            <w:vMerge/>
            <w:shd w:val="clear" w:color="auto" w:fill="D0CCE6"/>
            <w:vAlign w:val="center"/>
          </w:tcPr>
          <w:p w:rsidR="00453953" w:rsidRDefault="00453953" w:rsidP="007A449D">
            <w:pPr>
              <w:pStyle w:val="BodyText"/>
              <w:spacing w:before="120" w:after="120"/>
              <w:jc w:val="center"/>
            </w:pPr>
          </w:p>
        </w:tc>
      </w:tr>
      <w:tr w:rsidR="00146D89" w:rsidTr="007A449D">
        <w:trPr>
          <w:trHeight w:val="905"/>
        </w:trPr>
        <w:tc>
          <w:tcPr>
            <w:tcW w:w="4090" w:type="dxa"/>
            <w:shd w:val="clear" w:color="auto" w:fill="D0CCE6"/>
            <w:vAlign w:val="center"/>
          </w:tcPr>
          <w:p w:rsidR="00453953" w:rsidRDefault="0059040A" w:rsidP="007A449D">
            <w:pPr>
              <w:pStyle w:val="BodyText"/>
              <w:spacing w:before="120" w:after="120"/>
              <w:jc w:val="center"/>
            </w:pPr>
            <w:r>
              <w:t>Caring for an individual subject to quarantine or isolation order, or who has been advised by a health care provider to self-quarantine</w:t>
            </w:r>
          </w:p>
        </w:tc>
        <w:tc>
          <w:tcPr>
            <w:tcW w:w="3730" w:type="dxa"/>
            <w:vMerge w:val="restart"/>
            <w:shd w:val="clear" w:color="auto" w:fill="D0CCE6"/>
            <w:vAlign w:val="center"/>
          </w:tcPr>
          <w:p w:rsidR="00453953" w:rsidRDefault="0059040A" w:rsidP="007A449D">
            <w:pPr>
              <w:pStyle w:val="BodyText"/>
              <w:spacing w:before="120" w:after="120"/>
              <w:jc w:val="center"/>
            </w:pPr>
            <w:r>
              <w:t xml:space="preserve">Two-thirds regular rate of pay, up to a cap of </w:t>
            </w:r>
            <w:r w:rsidRPr="007A449D">
              <w:rPr>
                <w:b/>
              </w:rPr>
              <w:t>$200</w:t>
            </w:r>
          </w:p>
        </w:tc>
        <w:tc>
          <w:tcPr>
            <w:tcW w:w="2880" w:type="dxa"/>
            <w:vMerge w:val="restart"/>
            <w:shd w:val="clear" w:color="auto" w:fill="D0CCE6"/>
            <w:vAlign w:val="center"/>
          </w:tcPr>
          <w:p w:rsidR="00453953" w:rsidRDefault="0059040A" w:rsidP="007A449D">
            <w:pPr>
              <w:pStyle w:val="BodyText"/>
              <w:spacing w:before="120" w:after="120"/>
              <w:jc w:val="center"/>
            </w:pPr>
            <w:r w:rsidRPr="007A449D">
              <w:rPr>
                <w:b/>
              </w:rPr>
              <w:t>$2,000</w:t>
            </w:r>
          </w:p>
        </w:tc>
      </w:tr>
      <w:tr w:rsidR="00146D89" w:rsidTr="007A449D">
        <w:trPr>
          <w:trHeight w:val="905"/>
        </w:trPr>
        <w:tc>
          <w:tcPr>
            <w:tcW w:w="4090" w:type="dxa"/>
            <w:shd w:val="clear" w:color="auto" w:fill="D0CCE6"/>
            <w:vAlign w:val="center"/>
          </w:tcPr>
          <w:p w:rsidR="00453953" w:rsidRDefault="0059040A" w:rsidP="007A449D">
            <w:pPr>
              <w:pStyle w:val="BodyText"/>
              <w:spacing w:before="120" w:after="120"/>
              <w:jc w:val="center"/>
            </w:pPr>
            <w:r>
              <w:t>Caring for own child whose school or place of care has closed, or whose care provider is closed or unavailable</w:t>
            </w:r>
          </w:p>
        </w:tc>
        <w:tc>
          <w:tcPr>
            <w:tcW w:w="3730" w:type="dxa"/>
            <w:vMerge/>
            <w:shd w:val="clear" w:color="auto" w:fill="D0CCE6"/>
            <w:vAlign w:val="center"/>
          </w:tcPr>
          <w:p w:rsidR="00453953" w:rsidRDefault="00453953" w:rsidP="007A449D">
            <w:pPr>
              <w:pStyle w:val="BodyText"/>
              <w:spacing w:before="120" w:after="120"/>
              <w:jc w:val="center"/>
            </w:pPr>
          </w:p>
        </w:tc>
        <w:tc>
          <w:tcPr>
            <w:tcW w:w="2880" w:type="dxa"/>
            <w:vMerge/>
            <w:shd w:val="clear" w:color="auto" w:fill="D0CCE6"/>
            <w:vAlign w:val="center"/>
          </w:tcPr>
          <w:p w:rsidR="00453953" w:rsidRDefault="00453953" w:rsidP="007A449D">
            <w:pPr>
              <w:pStyle w:val="BodyText"/>
              <w:spacing w:before="120" w:after="120"/>
              <w:jc w:val="center"/>
            </w:pPr>
          </w:p>
        </w:tc>
      </w:tr>
      <w:tr w:rsidR="00146D89" w:rsidTr="007A449D">
        <w:trPr>
          <w:trHeight w:val="905"/>
        </w:trPr>
        <w:tc>
          <w:tcPr>
            <w:tcW w:w="4090" w:type="dxa"/>
            <w:shd w:val="clear" w:color="auto" w:fill="D0CCE6"/>
            <w:vAlign w:val="center"/>
          </w:tcPr>
          <w:p w:rsidR="00453953" w:rsidRDefault="0059040A" w:rsidP="007A449D">
            <w:pPr>
              <w:pStyle w:val="BodyText"/>
              <w:spacing w:before="120" w:after="120"/>
              <w:jc w:val="center"/>
            </w:pPr>
            <w:r>
              <w:t>Experiencing other substantially similar condition specified by HHS</w:t>
            </w:r>
          </w:p>
        </w:tc>
        <w:tc>
          <w:tcPr>
            <w:tcW w:w="3730" w:type="dxa"/>
            <w:vMerge/>
            <w:shd w:val="clear" w:color="auto" w:fill="D0CCE6"/>
            <w:vAlign w:val="center"/>
          </w:tcPr>
          <w:p w:rsidR="00453953" w:rsidRDefault="00453953" w:rsidP="007A449D">
            <w:pPr>
              <w:pStyle w:val="BodyText"/>
              <w:spacing w:before="120" w:after="120"/>
              <w:jc w:val="center"/>
            </w:pPr>
          </w:p>
        </w:tc>
        <w:tc>
          <w:tcPr>
            <w:tcW w:w="2880" w:type="dxa"/>
            <w:vMerge/>
            <w:shd w:val="clear" w:color="auto" w:fill="D0CCE6"/>
            <w:vAlign w:val="center"/>
          </w:tcPr>
          <w:p w:rsidR="00453953" w:rsidRDefault="00453953" w:rsidP="007A449D">
            <w:pPr>
              <w:pStyle w:val="BodyText"/>
              <w:spacing w:before="120" w:after="120"/>
              <w:jc w:val="center"/>
            </w:pPr>
          </w:p>
        </w:tc>
      </w:tr>
    </w:tbl>
    <w:p w:rsidR="00C879CB" w:rsidRDefault="0059040A" w:rsidP="00F16DB7">
      <w:pPr>
        <w:tabs>
          <w:tab w:val="left" w:pos="9287"/>
        </w:tabs>
        <w:rPr>
          <w:color w:val="44546A" w:themeColor="text2"/>
        </w:rPr>
      </w:pPr>
      <w:r w:rsidRPr="009A6684">
        <w:rPr>
          <w:color w:val="595959" w:themeColor="text1" w:themeTint="A6"/>
        </w:rPr>
        <w:t>Special calculation rules apply for part-time employees with variable work schedules</w:t>
      </w:r>
      <w:r w:rsidRPr="009A6684">
        <w:rPr>
          <w:color w:val="44546A" w:themeColor="text2"/>
        </w:rPr>
        <w:t>.</w:t>
      </w:r>
    </w:p>
    <w:p w:rsidR="002A3F8C" w:rsidRPr="00EA6DFF" w:rsidRDefault="002A3F8C" w:rsidP="00F16DB7">
      <w:pPr>
        <w:tabs>
          <w:tab w:val="left" w:pos="9287"/>
        </w:tabs>
        <w:rPr>
          <w:color w:val="44546A" w:themeColor="text2"/>
        </w:rPr>
      </w:pPr>
    </w:p>
    <w:p w:rsidR="008567B2" w:rsidRPr="009A6684" w:rsidRDefault="0059040A" w:rsidP="00453953">
      <w:pPr>
        <w:pStyle w:val="BodyText"/>
        <w:spacing w:after="0"/>
        <w:rPr>
          <w:i/>
          <w:color w:val="595959" w:themeColor="text1" w:themeTint="A6"/>
          <w:sz w:val="26"/>
          <w:szCs w:val="26"/>
        </w:rPr>
      </w:pPr>
      <w:r w:rsidRPr="009A6684">
        <w:rPr>
          <w:i/>
          <w:color w:val="595959" w:themeColor="text1" w:themeTint="A6"/>
          <w:sz w:val="26"/>
          <w:szCs w:val="26"/>
        </w:rPr>
        <w:lastRenderedPageBreak/>
        <w:t>Employer Notice Requirements</w:t>
      </w:r>
    </w:p>
    <w:p w:rsidR="00F16DB7" w:rsidRPr="009A6684" w:rsidRDefault="0059040A" w:rsidP="00F16DB7">
      <w:pPr>
        <w:tabs>
          <w:tab w:val="left" w:pos="9287"/>
        </w:tabs>
        <w:rPr>
          <w:i/>
          <w:color w:val="595959" w:themeColor="text1" w:themeTint="A6"/>
        </w:rPr>
      </w:pPr>
      <w:r w:rsidRPr="009A6684">
        <w:rPr>
          <w:color w:val="595959" w:themeColor="text1" w:themeTint="A6"/>
        </w:rPr>
        <w:t xml:space="preserve">Employers must post </w:t>
      </w:r>
      <w:hyperlink r:id="rId25" w:history="1">
        <w:r w:rsidRPr="00EA6DFF">
          <w:rPr>
            <w:rStyle w:val="Hyperlink"/>
          </w:rPr>
          <w:t>th</w:t>
        </w:r>
        <w:r w:rsidR="00EA6DFF" w:rsidRPr="00EA6DFF">
          <w:rPr>
            <w:rStyle w:val="Hyperlink"/>
          </w:rPr>
          <w:t>is</w:t>
        </w:r>
        <w:r w:rsidRPr="00EA6DFF">
          <w:rPr>
            <w:rStyle w:val="Hyperlink"/>
          </w:rPr>
          <w:t xml:space="preserve"> notice</w:t>
        </w:r>
      </w:hyperlink>
      <w:r w:rsidRPr="009A6684">
        <w:rPr>
          <w:color w:val="595959" w:themeColor="text1" w:themeTint="A6"/>
        </w:rPr>
        <w:t xml:space="preserve"> in conspicuous places on the</w:t>
      </w:r>
      <w:r w:rsidR="0023199E" w:rsidRPr="009A6684">
        <w:rPr>
          <w:color w:val="595959" w:themeColor="text1" w:themeTint="A6"/>
        </w:rPr>
        <w:t>ir</w:t>
      </w:r>
      <w:r w:rsidRPr="009A6684">
        <w:rPr>
          <w:color w:val="595959" w:themeColor="text1" w:themeTint="A6"/>
        </w:rPr>
        <w:t xml:space="preserve"> premises, where notices to employees are customarily posted.</w:t>
      </w:r>
      <w:r w:rsidR="00EA6DFF">
        <w:rPr>
          <w:color w:val="595959" w:themeColor="text1" w:themeTint="A6"/>
        </w:rPr>
        <w:t xml:space="preserve"> </w:t>
      </w:r>
      <w:r w:rsidR="00EA6DFF" w:rsidRPr="00EA6DFF">
        <w:rPr>
          <w:color w:val="595959" w:themeColor="text1" w:themeTint="A6"/>
        </w:rPr>
        <w:t>An employer</w:t>
      </w:r>
      <w:r w:rsidR="00AE5CB8">
        <w:rPr>
          <w:color w:val="595959" w:themeColor="text1" w:themeTint="A6"/>
        </w:rPr>
        <w:t xml:space="preserve"> may satisfy this </w:t>
      </w:r>
      <w:r w:rsidR="00EA6DFF" w:rsidRPr="00EA6DFF">
        <w:rPr>
          <w:color w:val="595959" w:themeColor="text1" w:themeTint="A6"/>
        </w:rPr>
        <w:t>requirement by emailing or direct mailing this notice to employees, or posting th</w:t>
      </w:r>
      <w:r w:rsidR="00AE5CB8">
        <w:rPr>
          <w:color w:val="595959" w:themeColor="text1" w:themeTint="A6"/>
        </w:rPr>
        <w:t>e</w:t>
      </w:r>
      <w:r w:rsidR="00EA6DFF" w:rsidRPr="00EA6DFF">
        <w:rPr>
          <w:color w:val="595959" w:themeColor="text1" w:themeTint="A6"/>
        </w:rPr>
        <w:t xml:space="preserve"> notice on an employee information internal or external website.</w:t>
      </w:r>
    </w:p>
    <w:p w:rsidR="00E216D6" w:rsidRPr="009A6684" w:rsidRDefault="0059040A" w:rsidP="00453953">
      <w:pPr>
        <w:pStyle w:val="BodyText"/>
        <w:spacing w:after="0"/>
        <w:rPr>
          <w:i/>
          <w:color w:val="595959" w:themeColor="text1" w:themeTint="A6"/>
          <w:sz w:val="26"/>
          <w:szCs w:val="26"/>
        </w:rPr>
      </w:pPr>
      <w:r w:rsidRPr="009A6684">
        <w:rPr>
          <w:i/>
          <w:color w:val="595959" w:themeColor="text1" w:themeTint="A6"/>
          <w:sz w:val="26"/>
          <w:szCs w:val="26"/>
        </w:rPr>
        <w:t>Enforcemen</w:t>
      </w:r>
      <w:r w:rsidR="00323A26" w:rsidRPr="009A6684">
        <w:rPr>
          <w:i/>
          <w:color w:val="595959" w:themeColor="text1" w:themeTint="A6"/>
          <w:sz w:val="26"/>
          <w:szCs w:val="26"/>
        </w:rPr>
        <w:t>t</w:t>
      </w:r>
    </w:p>
    <w:p w:rsidR="00E216D6" w:rsidRPr="009A6684" w:rsidRDefault="0059040A" w:rsidP="00F16DB7">
      <w:pPr>
        <w:tabs>
          <w:tab w:val="left" w:pos="9287"/>
        </w:tabs>
        <w:rPr>
          <w:color w:val="595959" w:themeColor="text1" w:themeTint="A6"/>
        </w:rPr>
      </w:pPr>
      <w:r w:rsidRPr="009A6684">
        <w:rPr>
          <w:color w:val="595959" w:themeColor="text1" w:themeTint="A6"/>
        </w:rPr>
        <w:t xml:space="preserve">Employers who violate the new paid sick leave law will be subject to </w:t>
      </w:r>
      <w:r w:rsidR="00323A26" w:rsidRPr="009A6684">
        <w:rPr>
          <w:color w:val="595959" w:themeColor="text1" w:themeTint="A6"/>
        </w:rPr>
        <w:t xml:space="preserve">penalties under the federal </w:t>
      </w:r>
      <w:r w:rsidRPr="009A6684">
        <w:rPr>
          <w:color w:val="595959" w:themeColor="text1" w:themeTint="A6"/>
        </w:rPr>
        <w:t>F</w:t>
      </w:r>
      <w:r w:rsidR="00323A26" w:rsidRPr="009A6684">
        <w:rPr>
          <w:color w:val="595959" w:themeColor="text1" w:themeTint="A6"/>
        </w:rPr>
        <w:t xml:space="preserve">air </w:t>
      </w:r>
      <w:r w:rsidRPr="009A6684">
        <w:rPr>
          <w:color w:val="595959" w:themeColor="text1" w:themeTint="A6"/>
        </w:rPr>
        <w:t>L</w:t>
      </w:r>
      <w:r w:rsidR="00323A26" w:rsidRPr="009A6684">
        <w:rPr>
          <w:color w:val="595959" w:themeColor="text1" w:themeTint="A6"/>
        </w:rPr>
        <w:t xml:space="preserve">abor </w:t>
      </w:r>
      <w:r w:rsidRPr="009A6684">
        <w:rPr>
          <w:color w:val="595959" w:themeColor="text1" w:themeTint="A6"/>
        </w:rPr>
        <w:t>S</w:t>
      </w:r>
      <w:r w:rsidR="00323A26" w:rsidRPr="009A6684">
        <w:rPr>
          <w:color w:val="595959" w:themeColor="text1" w:themeTint="A6"/>
        </w:rPr>
        <w:t xml:space="preserve">tandards </w:t>
      </w:r>
      <w:r w:rsidRPr="009A6684">
        <w:rPr>
          <w:color w:val="595959" w:themeColor="text1" w:themeTint="A6"/>
        </w:rPr>
        <w:t>A</w:t>
      </w:r>
      <w:r w:rsidR="00323A26" w:rsidRPr="009A6684">
        <w:rPr>
          <w:color w:val="595959" w:themeColor="text1" w:themeTint="A6"/>
        </w:rPr>
        <w:t>ct</w:t>
      </w:r>
      <w:r w:rsidRPr="009A6684">
        <w:rPr>
          <w:color w:val="595959" w:themeColor="text1" w:themeTint="A6"/>
        </w:rPr>
        <w:t xml:space="preserve">. </w:t>
      </w:r>
      <w:r w:rsidR="00AE5CB8" w:rsidRPr="00AE5CB8">
        <w:rPr>
          <w:color w:val="595959" w:themeColor="text1" w:themeTint="A6"/>
        </w:rPr>
        <w:t>The D</w:t>
      </w:r>
      <w:r w:rsidR="00AE5CB8">
        <w:rPr>
          <w:color w:val="595959" w:themeColor="text1" w:themeTint="A6"/>
        </w:rPr>
        <w:t xml:space="preserve">OL has issued </w:t>
      </w:r>
      <w:hyperlink r:id="rId26" w:history="1">
        <w:r w:rsidR="00AE5CB8" w:rsidRPr="00AE5CB8">
          <w:rPr>
            <w:rStyle w:val="Hyperlink"/>
          </w:rPr>
          <w:t>guidance</w:t>
        </w:r>
      </w:hyperlink>
      <w:r w:rsidR="00AE5CB8">
        <w:rPr>
          <w:color w:val="595959" w:themeColor="text1" w:themeTint="A6"/>
        </w:rPr>
        <w:t xml:space="preserve"> saying it </w:t>
      </w:r>
      <w:r w:rsidR="00AE5CB8" w:rsidRPr="00AE5CB8">
        <w:rPr>
          <w:color w:val="595959" w:themeColor="text1" w:themeTint="A6"/>
        </w:rPr>
        <w:t xml:space="preserve">will not bring enforcement actions against any employer for violations of </w:t>
      </w:r>
      <w:r w:rsidR="00AE5CB8">
        <w:rPr>
          <w:color w:val="595959" w:themeColor="text1" w:themeTint="A6"/>
        </w:rPr>
        <w:t>either leave provision in the Families First Coronavirus Response Act oc</w:t>
      </w:r>
      <w:r w:rsidR="00AE5CB8" w:rsidRPr="00AE5CB8">
        <w:rPr>
          <w:color w:val="595959" w:themeColor="text1" w:themeTint="A6"/>
        </w:rPr>
        <w:t xml:space="preserve">curring within </w:t>
      </w:r>
      <w:r w:rsidR="00AE5CB8">
        <w:rPr>
          <w:color w:val="595959" w:themeColor="text1" w:themeTint="A6"/>
        </w:rPr>
        <w:t>the first 30 days after it was passed (</w:t>
      </w:r>
      <w:r w:rsidR="00AE5CB8" w:rsidRPr="00AE5CB8">
        <w:rPr>
          <w:color w:val="595959" w:themeColor="text1" w:themeTint="A6"/>
        </w:rPr>
        <w:t>March 18 through April 17, 2020</w:t>
      </w:r>
      <w:r w:rsidR="00AE5CB8">
        <w:rPr>
          <w:color w:val="595959" w:themeColor="text1" w:themeTint="A6"/>
        </w:rPr>
        <w:t xml:space="preserve">). This reprieve from enforcement only applies if </w:t>
      </w:r>
      <w:r w:rsidR="00AE5CB8" w:rsidRPr="00AE5CB8">
        <w:rPr>
          <w:color w:val="595959" w:themeColor="text1" w:themeTint="A6"/>
        </w:rPr>
        <w:t xml:space="preserve">the employer has made reasonable, good faith efforts to comply with the </w:t>
      </w:r>
      <w:r w:rsidR="00AE5CB8">
        <w:rPr>
          <w:color w:val="595959" w:themeColor="text1" w:themeTint="A6"/>
        </w:rPr>
        <w:t>A</w:t>
      </w:r>
      <w:r w:rsidR="00AE5CB8" w:rsidRPr="00AE5CB8">
        <w:rPr>
          <w:color w:val="595959" w:themeColor="text1" w:themeTint="A6"/>
        </w:rPr>
        <w:t>ct.</w:t>
      </w:r>
    </w:p>
    <w:p w:rsidR="00AD30CB" w:rsidRPr="009A6684" w:rsidRDefault="0059040A" w:rsidP="00453953">
      <w:pPr>
        <w:pStyle w:val="BodyText"/>
        <w:spacing w:after="0"/>
        <w:rPr>
          <w:i/>
          <w:color w:val="595959" w:themeColor="text1" w:themeTint="A6"/>
          <w:sz w:val="26"/>
          <w:szCs w:val="26"/>
        </w:rPr>
      </w:pPr>
      <w:r w:rsidRPr="009A6684">
        <w:rPr>
          <w:i/>
          <w:color w:val="595959" w:themeColor="text1" w:themeTint="A6"/>
          <w:sz w:val="26"/>
          <w:szCs w:val="26"/>
        </w:rPr>
        <w:t>Tax Credit</w:t>
      </w:r>
    </w:p>
    <w:p w:rsidR="005F3463" w:rsidRPr="009A6684" w:rsidRDefault="0059040A" w:rsidP="00F16DB7">
      <w:pPr>
        <w:tabs>
          <w:tab w:val="left" w:pos="9287"/>
        </w:tabs>
        <w:rPr>
          <w:color w:val="595959" w:themeColor="text1" w:themeTint="A6"/>
        </w:rPr>
      </w:pPr>
      <w:r w:rsidRPr="009A6684">
        <w:rPr>
          <w:color w:val="595959" w:themeColor="text1" w:themeTint="A6"/>
        </w:rPr>
        <w:t>Employers are entitled to a credit against the tax imposed by section 3111(a) or 3221(a) of the IRS Code for each calendar quarter</w:t>
      </w:r>
      <w:r w:rsidR="00A33475" w:rsidRPr="009A6684">
        <w:rPr>
          <w:color w:val="595959" w:themeColor="text1" w:themeTint="A6"/>
        </w:rPr>
        <w:t>,</w:t>
      </w:r>
      <w:r w:rsidRPr="009A6684">
        <w:rPr>
          <w:color w:val="595959" w:themeColor="text1" w:themeTint="A6"/>
        </w:rPr>
        <w:t xml:space="preserve"> of an amount equal to 100% of qualified sick leave wages paid.</w:t>
      </w:r>
      <w:r w:rsidR="00D55556" w:rsidRPr="009A6684">
        <w:rPr>
          <w:color w:val="595959" w:themeColor="text1" w:themeTint="A6"/>
        </w:rPr>
        <w:t xml:space="preserve"> Tax credits are also available for the self-employed.</w:t>
      </w:r>
    </w:p>
    <w:sectPr w:rsidR="005F3463" w:rsidRPr="009A6684" w:rsidSect="00C84C66">
      <w:headerReference w:type="default" r:id="rId27"/>
      <w:footerReference w:type="default" r:id="rId28"/>
      <w:pgSz w:w="12240" w:h="15840"/>
      <w:pgMar w:top="1800" w:right="720" w:bottom="18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9040A" w:rsidRDefault="0059040A">
      <w:pPr>
        <w:spacing w:after="0" w:line="240" w:lineRule="auto"/>
      </w:pPr>
      <w:r>
        <w:separator/>
      </w:r>
    </w:p>
  </w:endnote>
  <w:endnote w:type="continuationSeparator" w:id="0">
    <w:p w:rsidR="0059040A" w:rsidRDefault="0059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6DB7" w:rsidRDefault="0059040A">
    <w:pPr>
      <w:pStyle w:val="Footer"/>
    </w:pPr>
    <w:r>
      <w:rPr>
        <w:noProof/>
      </w:rPr>
      <mc:AlternateContent>
        <mc:Choice Requires="wps">
          <w:drawing>
            <wp:anchor distT="0" distB="0" distL="114300" distR="114300" simplePos="0" relativeHeight="251668480" behindDoc="0" locked="0" layoutInCell="1" allowOverlap="1">
              <wp:simplePos x="0" y="0"/>
              <wp:positionH relativeFrom="margin">
                <wp:posOffset>0</wp:posOffset>
              </wp:positionH>
              <wp:positionV relativeFrom="bottomMargin">
                <wp:posOffset>286385</wp:posOffset>
              </wp:positionV>
              <wp:extent cx="4344670" cy="320040"/>
              <wp:effectExtent l="0" t="0" r="0" b="3810"/>
              <wp:wrapNone/>
              <wp:docPr id="24" name="Text Box 24"/>
              <wp:cNvGraphicFramePr/>
              <a:graphic xmlns:a="http://schemas.openxmlformats.org/drawingml/2006/main">
                <a:graphicData uri="http://schemas.microsoft.com/office/word/2010/wordprocessingShape">
                  <wps:wsp>
                    <wps:cNvSpPr txBox="1"/>
                    <wps:spPr>
                      <a:xfrm>
                        <a:off x="0" y="0"/>
                        <a:ext cx="4344670" cy="320040"/>
                      </a:xfrm>
                      <a:prstGeom prst="rect">
                        <a:avLst/>
                      </a:prstGeom>
                      <a:noFill/>
                      <a:ln w="6350">
                        <a:noFill/>
                      </a:ln>
                      <a:effectLst/>
                    </wps:spPr>
                    <wps:txbx>
                      <w:txbxContent>
                        <w:p w:rsidR="004022E4" w:rsidRPr="00C10371" w:rsidRDefault="0059040A" w:rsidP="004022E4">
                          <w:pPr>
                            <w:pStyle w:val="Header"/>
                            <w:rPr>
                              <w:color w:val="6F61B0"/>
                              <w:sz w:val="20"/>
                              <w:szCs w:val="20"/>
                            </w:rPr>
                          </w:pPr>
                          <w:r w:rsidRPr="00A9581B">
                            <w:rPr>
                              <w:color w:val="595959" w:themeColor="text1" w:themeTint="A6"/>
                              <w:sz w:val="20"/>
                              <w:szCs w:val="20"/>
                            </w:rPr>
                            <w:t xml:space="preserve">Provided to you by </w:t>
                          </w:r>
                          <w:r w:rsidR="00864FBD">
                            <w:rPr>
                              <w:b/>
                              <w:color w:val="6F61B0"/>
                              <w:sz w:val="20"/>
                              <w:szCs w:val="20"/>
                            </w:rPr>
                            <w:t>Lawley</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2049" type="#_x0000_t202" style="width:342.1pt;height:25.2pt;margin-top:22.55pt;margin-left:0;mso-height-percent:0;mso-height-relative:margin;mso-position-horizontal-relative:margin;mso-position-vertical-relative:bottom-margin-area;mso-width-percent:0;mso-width-relative:margin;mso-wrap-distance-bottom:0;mso-wrap-distance-left:9pt;mso-wrap-distance-right:9pt;mso-wrap-distance-top:0;position:absolute;v-text-anchor:top;z-index:251667456" filled="f" fillcolor="this" stroked="f" strokeweight="0.5pt">
              <v:textbox>
                <w:txbxContent>
                  <w:p w:rsidR="004022E4" w:rsidRPr="00C10371" w:rsidP="004022E4">
                    <w:pPr>
                      <w:pStyle w:val="Header"/>
                      <w:rPr>
                        <w:color w:val="6F61B0"/>
                        <w:sz w:val="20"/>
                        <w:szCs w:val="20"/>
                      </w:rPr>
                    </w:pPr>
                    <w:r w:rsidRPr="00A9581B">
                      <w:rPr>
                        <w:color w:val="595959" w:themeColor="text1" w:themeTint="A6"/>
                        <w:sz w:val="20"/>
                        <w:szCs w:val="20"/>
                      </w:rPr>
                      <w:t xml:space="preserve">Provided to you by </w:t>
                    </w:r>
                    <w:r w:rsidR="00864FBD">
                      <w:rPr>
                        <w:b/>
                        <w:color w:val="6F61B0"/>
                        <w:sz w:val="20"/>
                        <w:szCs w:val="20"/>
                      </w:rPr>
                      <w:t>Lawley</w:t>
                    </w:r>
                  </w:p>
                </w:txbxContent>
              </v:textbox>
              <w10:wrap anchorx="margin"/>
            </v:shape>
          </w:pict>
        </mc:Fallback>
      </mc:AlternateContent>
    </w:r>
    <w:r w:rsidR="00F16DB7">
      <w:rPr>
        <w:noProof/>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margin">
                <wp:align>bottom</wp:align>
              </wp:positionV>
              <wp:extent cx="4126230" cy="0"/>
              <wp:effectExtent l="19050" t="19050" r="7620" b="19050"/>
              <wp:wrapNone/>
              <wp:docPr id="5" name="Straight Connector 5"/>
              <wp:cNvGraphicFramePr/>
              <a:graphic xmlns:a="http://schemas.openxmlformats.org/drawingml/2006/main">
                <a:graphicData uri="http://schemas.microsoft.com/office/word/2010/wordprocessingShape">
                  <wps:wsp>
                    <wps:cNvCnPr/>
                    <wps:spPr>
                      <a:xfrm flipH="1" flipV="1">
                        <a:off x="0" y="0"/>
                        <a:ext cx="4126230" cy="0"/>
                      </a:xfrm>
                      <a:prstGeom prst="line">
                        <a:avLst/>
                      </a:prstGeom>
                      <a:ln w="44450">
                        <a:solidFill>
                          <a:srgbClr val="6F61B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2050" style="flip:x y;mso-height-percent:0;mso-height-relative:margin;mso-position-horizontal-relative:margin;mso-position-vertical:bottom;mso-position-vertical-relative:margin;mso-width-percent:0;mso-width-relative:margin;mso-wrap-distance-bottom:0;mso-wrap-distance-left:9pt;mso-wrap-distance-right:9pt;mso-wrap-distance-top:0;mso-wrap-style:square;position:absolute;visibility:visible;z-index:251664384" from="0,0" to="324.9pt,0" strokecolor="#6f61b0" strokeweight="3.5pt">
              <v:stroke joinstyle="miter" opacity="49087f"/>
              <w10:wrap anchorx="margin" anchory="margin"/>
            </v:line>
          </w:pict>
        </mc:Fallback>
      </mc:AlternateContent>
    </w:r>
    <w:r w:rsidR="00F16DB7">
      <w:rPr>
        <w:noProof/>
      </w:rPr>
      <w:drawing>
        <wp:anchor distT="0" distB="0" distL="114300" distR="114300" simplePos="0" relativeHeight="251659264" behindDoc="1" locked="0" layoutInCell="1" allowOverlap="1">
          <wp:simplePos x="0" y="0"/>
          <wp:positionH relativeFrom="page">
            <wp:posOffset>0</wp:posOffset>
          </wp:positionH>
          <wp:positionV relativeFrom="paragraph">
            <wp:posOffset>1492575</wp:posOffset>
          </wp:positionV>
          <wp:extent cx="7772400" cy="630936"/>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gal_fold.png"/>
                  <pic:cNvPicPr/>
                </pic:nvPicPr>
                <pic:blipFill>
                  <a:blip r:embed="rId1">
                    <a:extLst>
                      <a:ext uri="{28A0092B-C50C-407E-A947-70E740481C1C}">
                        <a14:useLocalDpi xmlns:a14="http://schemas.microsoft.com/office/drawing/2010/main" val="0"/>
                      </a:ext>
                    </a:extLst>
                  </a:blip>
                  <a:stretch>
                    <a:fillRect/>
                  </a:stretch>
                </pic:blipFill>
                <pic:spPr>
                  <a:xfrm>
                    <a:off x="0" y="0"/>
                    <a:ext cx="7772400" cy="63093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5081088"/>
      <w:docPartObj>
        <w:docPartGallery w:val="Page Numbers (Bottom of Page)"/>
        <w:docPartUnique/>
      </w:docPartObj>
    </w:sdtPr>
    <w:sdtEndPr>
      <w:rPr>
        <w:noProof/>
      </w:rPr>
    </w:sdtEndPr>
    <w:sdtContent>
      <w:p w:rsidR="00F16DB7" w:rsidRDefault="0059040A">
        <w:pPr>
          <w:pStyle w:val="Footer"/>
          <w:jc w:val="right"/>
        </w:pPr>
        <w:r>
          <w:rPr>
            <w:noProof/>
          </w:rPr>
          <mc:AlternateContent>
            <mc:Choice Requires="wps">
              <w:drawing>
                <wp:anchor distT="0" distB="0" distL="114300" distR="114300" simplePos="0" relativeHeight="251661312" behindDoc="0" locked="0" layoutInCell="1" allowOverlap="1">
                  <wp:simplePos x="0" y="0"/>
                  <wp:positionH relativeFrom="margin">
                    <wp:posOffset>-55245</wp:posOffset>
                  </wp:positionH>
                  <wp:positionV relativeFrom="paragraph">
                    <wp:posOffset>-101888</wp:posOffset>
                  </wp:positionV>
                  <wp:extent cx="5950527" cy="55626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950527" cy="556260"/>
                          </a:xfrm>
                          <a:prstGeom prst="rect">
                            <a:avLst/>
                          </a:prstGeom>
                          <a:noFill/>
                          <a:ln w="6350">
                            <a:noFill/>
                          </a:ln>
                          <a:effectLst/>
                        </wps:spPr>
                        <wps:txbx>
                          <w:txbxContent>
                            <w:p w:rsidR="00F16DB7" w:rsidRPr="00817EEE" w:rsidRDefault="0059040A" w:rsidP="00267C01">
                              <w:pPr>
                                <w:pStyle w:val="Disclaimer"/>
                              </w:pPr>
                              <w:r w:rsidRPr="00947E11">
                                <w:rPr>
                                  <w:szCs w:val="16"/>
                                </w:rPr>
                                <w:t xml:space="preserve">This </w:t>
                              </w:r>
                              <w:r>
                                <w:rPr>
                                  <w:szCs w:val="16"/>
                                </w:rPr>
                                <w:t>Compliance Bulletin</w:t>
                              </w:r>
                              <w:r w:rsidRPr="00947E11">
                                <w:rPr>
                                  <w:szCs w:val="16"/>
                                </w:rPr>
                                <w:t xml:space="preserve"> is not intended to be exhaustive nor should any discussion or opinions be construed as legal advice. Reade</w:t>
                              </w:r>
                              <w:r w:rsidRPr="00947E11">
                                <w:rPr>
                                  <w:szCs w:val="16"/>
                                </w:rPr>
                                <w:t xml:space="preserve">rs should contact </w:t>
                              </w:r>
                              <w:r>
                                <w:rPr>
                                  <w:szCs w:val="16"/>
                                </w:rPr>
                                <w:t xml:space="preserve">legal counsel for legal advice. </w:t>
                              </w:r>
                              <w:r w:rsidRPr="00817EEE">
                                <w:t>©</w:t>
                              </w:r>
                              <w:r>
                                <w:t xml:space="preserve">2020 </w:t>
                              </w:r>
                              <w:r w:rsidRPr="00817EEE">
                                <w:t>Zywave, Inc.</w:t>
                              </w:r>
                              <w:r>
                                <w:t xml:space="preserve"> </w:t>
                              </w:r>
                              <w:r w:rsidRPr="00817EEE">
                                <w:t>All rights reserved.</w:t>
                              </w:r>
                            </w:p>
                            <w:p w:rsidR="00F16DB7" w:rsidRPr="00947E11" w:rsidRDefault="00F16DB7" w:rsidP="00267C01">
                              <w:pPr>
                                <w:pStyle w:val="Disclaimer"/>
                                <w:rPr>
                                  <w:szCs w:val="16"/>
                                </w:rPr>
                              </w:pPr>
                            </w:p>
                            <w:p w:rsidR="00F16DB7" w:rsidRPr="00947E11" w:rsidRDefault="00F16DB7" w:rsidP="00267C01">
                              <w:pPr>
                                <w:pStyle w:val="Disclaimer"/>
                                <w:rPr>
                                  <w:szCs w:val="16"/>
                                </w:rPr>
                              </w:pPr>
                            </w:p>
                            <w:p w:rsidR="00F16DB7" w:rsidRPr="00947E11" w:rsidRDefault="00F16DB7" w:rsidP="00267C01">
                              <w:pPr>
                                <w:pStyle w:val="Disclaimer"/>
                                <w:rPr>
                                  <w:szCs w:val="16"/>
                                </w:rPr>
                              </w:pPr>
                            </w:p>
                            <w:p w:rsidR="00F16DB7" w:rsidRPr="00947E11" w:rsidRDefault="00F16DB7" w:rsidP="008F7B15">
                              <w:pPr>
                                <w:pStyle w:val="Disclaimer"/>
                                <w:rPr>
                                  <w:szCs w:val="16"/>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2051" type="#_x0000_t202" style="width:468.55pt;height:43.8pt;margin-top:-8pt;margin-left:-4.35pt;mso-height-percent:0;mso-height-relative:margin;mso-position-horizontal-relative:margin;mso-width-percent:0;mso-width-relative:margin;mso-wrap-distance-bottom:0;mso-wrap-distance-left:9pt;mso-wrap-distance-right:9pt;mso-wrap-distance-top:0;mso-wrap-style:square;position:absolute;visibility:visible;v-text-anchor:top;z-index:251662336" filled="f" stroked="f" strokeweight="0.5pt">
                  <v:textbox>
                    <w:txbxContent>
                      <w:p w:rsidR="00F16DB7" w:rsidRPr="00817EEE" w:rsidP="00267C01">
                        <w:pPr>
                          <w:pStyle w:val="Disclaimer"/>
                        </w:pPr>
                        <w:r w:rsidRPr="00947E11">
                          <w:rPr>
                            <w:szCs w:val="16"/>
                          </w:rPr>
                          <w:t xml:space="preserve">This </w:t>
                        </w:r>
                        <w:r>
                          <w:rPr>
                            <w:szCs w:val="16"/>
                          </w:rPr>
                          <w:t>Compliance Bulletin</w:t>
                        </w:r>
                        <w:r w:rsidRPr="00947E11">
                          <w:rPr>
                            <w:szCs w:val="16"/>
                          </w:rPr>
                          <w:t xml:space="preserve"> is not intended to be exhaustive nor should any discussion or opinions be construed as legal advice. Readers should contact </w:t>
                        </w:r>
                        <w:r>
                          <w:rPr>
                            <w:szCs w:val="16"/>
                          </w:rPr>
                          <w:t xml:space="preserve">legal counsel for legal advice. </w:t>
                        </w:r>
                        <w:r w:rsidRPr="00817EEE">
                          <w:t>©</w:t>
                        </w:r>
                        <w:r>
                          <w:t xml:space="preserve">2020 </w:t>
                        </w:r>
                        <w:r w:rsidRPr="00817EEE">
                          <w:t>Zywave, Inc.</w:t>
                        </w:r>
                        <w:r>
                          <w:t xml:space="preserve"> </w:t>
                        </w:r>
                        <w:r w:rsidRPr="00817EEE">
                          <w:t>All rights reserved.</w:t>
                        </w:r>
                      </w:p>
                      <w:p w:rsidR="00F16DB7" w:rsidRPr="00947E11" w:rsidP="00267C01">
                        <w:pPr>
                          <w:pStyle w:val="Disclaimer"/>
                          <w:rPr>
                            <w:szCs w:val="16"/>
                          </w:rPr>
                        </w:pPr>
                      </w:p>
                      <w:p w:rsidR="00F16DB7" w:rsidRPr="00947E11" w:rsidP="00267C01">
                        <w:pPr>
                          <w:pStyle w:val="Disclaimer"/>
                          <w:rPr>
                            <w:szCs w:val="16"/>
                          </w:rPr>
                        </w:pPr>
                      </w:p>
                      <w:p w:rsidR="00F16DB7" w:rsidRPr="00947E11" w:rsidP="00267C01">
                        <w:pPr>
                          <w:pStyle w:val="Disclaimer"/>
                          <w:rPr>
                            <w:szCs w:val="16"/>
                          </w:rPr>
                        </w:pPr>
                      </w:p>
                      <w:p w:rsidR="00F16DB7" w:rsidRPr="00947E11" w:rsidP="008F7B15">
                        <w:pPr>
                          <w:pStyle w:val="Disclaimer"/>
                          <w:rPr>
                            <w:szCs w:val="16"/>
                          </w:rPr>
                        </w:pP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margin">
                    <wp:posOffset>7620</wp:posOffset>
                  </wp:positionH>
                  <wp:positionV relativeFrom="bottomMargin">
                    <wp:posOffset>7620</wp:posOffset>
                  </wp:positionV>
                  <wp:extent cx="6848475" cy="8890"/>
                  <wp:effectExtent l="19050" t="19050" r="9525" b="29210"/>
                  <wp:wrapNone/>
                  <wp:docPr id="292635421" name="Straight Connector 1"/>
                  <wp:cNvGraphicFramePr/>
                  <a:graphic xmlns:a="http://schemas.openxmlformats.org/drawingml/2006/main">
                    <a:graphicData uri="http://schemas.microsoft.com/office/word/2010/wordprocessingShape">
                      <wps:wsp>
                        <wps:cNvCnPr/>
                        <wps:spPr>
                          <a:xfrm flipH="1" flipV="1">
                            <a:off x="0" y="0"/>
                            <a:ext cx="6848475" cy="8890"/>
                          </a:xfrm>
                          <a:prstGeom prst="line">
                            <a:avLst/>
                          </a:prstGeom>
                          <a:ln w="44450">
                            <a:solidFill>
                              <a:srgbClr val="6F61B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2052" style="flip:x y;mso-height-percent:0;mso-height-relative:margin;mso-position-horizontal-relative:margin;mso-position-vertical-relative:bottom-margin-area;mso-width-percent:0;mso-width-relative:margin;mso-wrap-distance-bottom:0;mso-wrap-distance-left:9pt;mso-wrap-distance-right:9pt;mso-wrap-distance-top:0;mso-wrap-style:square;position:absolute;visibility:visible;z-index:251666432" from="0.6pt,0.6pt" to="539.85pt,1.3pt" strokecolor="#6f61b0" strokeweight="3.5pt">
                  <v:stroke joinstyle="miter" opacity="49087f"/>
                  <w10:wrap anchorx="margin"/>
                </v:line>
              </w:pict>
            </mc:Fallback>
          </mc:AlternateContent>
        </w:r>
        <w:r>
          <w:fldChar w:fldCharType="begin"/>
        </w:r>
        <w:r>
          <w:instrText xml:space="preserve"> PAGE   \* MERGEFORMAT </w:instrText>
        </w:r>
        <w:r>
          <w:fldChar w:fldCharType="separate"/>
        </w:r>
        <w:r>
          <w:rPr>
            <w:noProof/>
          </w:rPr>
          <w:t>2</w:t>
        </w:r>
        <w:r>
          <w:rPr>
            <w:noProof/>
          </w:rPr>
          <w:fldChar w:fldCharType="end"/>
        </w:r>
      </w:p>
    </w:sdtContent>
  </w:sdt>
  <w:p w:rsidR="00F16DB7" w:rsidRDefault="00F1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9040A" w:rsidRDefault="0059040A">
      <w:pPr>
        <w:spacing w:after="0" w:line="240" w:lineRule="auto"/>
      </w:pPr>
      <w:r>
        <w:separator/>
      </w:r>
    </w:p>
  </w:footnote>
  <w:footnote w:type="continuationSeparator" w:id="0">
    <w:p w:rsidR="0059040A" w:rsidRDefault="005904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6DB7" w:rsidRDefault="0059040A">
    <w:pPr>
      <w:pStyle w:val="Header"/>
    </w:pPr>
    <w:r>
      <w:rPr>
        <w:noProof/>
      </w:rPr>
      <w:drawing>
        <wp:anchor distT="0" distB="0" distL="114300" distR="114300" simplePos="0" relativeHeight="251658240" behindDoc="1" locked="0" layoutInCell="1" allowOverlap="1">
          <wp:simplePos x="0" y="0"/>
          <wp:positionH relativeFrom="page">
            <wp:align>right</wp:align>
          </wp:positionH>
          <wp:positionV relativeFrom="page">
            <wp:align>top</wp:align>
          </wp:positionV>
          <wp:extent cx="7760969" cy="10042266"/>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gal_header.png"/>
                  <pic:cNvPicPr/>
                </pic:nvPicPr>
                <pic:blipFill>
                  <a:blip r:embed="rId1">
                    <a:extLst>
                      <a:ext uri="{28A0092B-C50C-407E-A947-70E740481C1C}">
                        <a14:useLocalDpi xmlns:a14="http://schemas.microsoft.com/office/drawing/2010/main" val="0"/>
                      </a:ext>
                    </a:extLst>
                  </a:blip>
                  <a:stretch>
                    <a:fillRect/>
                  </a:stretch>
                </pic:blipFill>
                <pic:spPr>
                  <a:xfrm>
                    <a:off x="0" y="0"/>
                    <a:ext cx="7760969" cy="1004226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6DB7" w:rsidRDefault="0059040A">
    <w:pPr>
      <w:pStyle w:val="Header"/>
    </w:pPr>
    <w:r>
      <w:rPr>
        <w:noProof/>
      </w:rPr>
      <w:drawing>
        <wp:anchor distT="0" distB="0" distL="114300" distR="114300" simplePos="0" relativeHeight="251660288" behindDoc="1" locked="0" layoutInCell="1" allowOverlap="1">
          <wp:simplePos x="0" y="0"/>
          <wp:positionH relativeFrom="page">
            <wp:posOffset>9144</wp:posOffset>
          </wp:positionH>
          <wp:positionV relativeFrom="paragraph">
            <wp:posOffset>-448056</wp:posOffset>
          </wp:positionV>
          <wp:extent cx="7755309" cy="1636775"/>
          <wp:effectExtent l="0" t="0" r="0" b="190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16611" name="legal_header.png"/>
                  <pic:cNvPicPr/>
                </pic:nvPicPr>
                <pic:blipFill>
                  <a:blip r:embed="rId1">
                    <a:extLst>
                      <a:ext uri="{28A0092B-C50C-407E-A947-70E740481C1C}">
                        <a14:useLocalDpi xmlns:a14="http://schemas.microsoft.com/office/drawing/2010/main" val="0"/>
                      </a:ext>
                    </a:extLst>
                  </a:blip>
                  <a:stretch>
                    <a:fillRect/>
                  </a:stretch>
                </pic:blipFill>
                <pic:spPr>
                  <a:xfrm>
                    <a:off x="0" y="0"/>
                    <a:ext cx="7755309" cy="1636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4184"/>
    <w:multiLevelType w:val="hybridMultilevel"/>
    <w:tmpl w:val="179C0DD0"/>
    <w:lvl w:ilvl="0" w:tplc="A4D859FE">
      <w:start w:val="1"/>
      <w:numFmt w:val="bullet"/>
      <w:pStyle w:val="BulletListText"/>
      <w:lvlText w:val=""/>
      <w:lvlJc w:val="left"/>
      <w:pPr>
        <w:ind w:left="360" w:hanging="360"/>
      </w:pPr>
      <w:rPr>
        <w:rFonts w:ascii="Symbol" w:hAnsi="Symbol" w:hint="default"/>
        <w:color w:val="6F61B0"/>
      </w:rPr>
    </w:lvl>
    <w:lvl w:ilvl="1" w:tplc="DB0257A2">
      <w:start w:val="1"/>
      <w:numFmt w:val="bullet"/>
      <w:lvlText w:val=""/>
      <w:lvlJc w:val="left"/>
      <w:pPr>
        <w:ind w:left="1080" w:hanging="360"/>
      </w:pPr>
      <w:rPr>
        <w:rFonts w:ascii="Symbol" w:hAnsi="Symbol" w:hint="default"/>
      </w:rPr>
    </w:lvl>
    <w:lvl w:ilvl="2" w:tplc="7C80A6F2">
      <w:start w:val="1"/>
      <w:numFmt w:val="bullet"/>
      <w:lvlText w:val=""/>
      <w:lvlJc w:val="left"/>
      <w:pPr>
        <w:ind w:left="1800" w:hanging="360"/>
      </w:pPr>
      <w:rPr>
        <w:rFonts w:ascii="Wingdings" w:hAnsi="Wingdings" w:hint="default"/>
      </w:rPr>
    </w:lvl>
    <w:lvl w:ilvl="3" w:tplc="07BC2950">
      <w:start w:val="1"/>
      <w:numFmt w:val="bullet"/>
      <w:lvlText w:val=""/>
      <w:lvlJc w:val="left"/>
      <w:pPr>
        <w:ind w:left="2520" w:hanging="360"/>
      </w:pPr>
      <w:rPr>
        <w:rFonts w:ascii="Symbol" w:hAnsi="Symbol" w:hint="default"/>
      </w:rPr>
    </w:lvl>
    <w:lvl w:ilvl="4" w:tplc="5552AA12" w:tentative="1">
      <w:start w:val="1"/>
      <w:numFmt w:val="bullet"/>
      <w:lvlText w:val="o"/>
      <w:lvlJc w:val="left"/>
      <w:pPr>
        <w:ind w:left="3240" w:hanging="360"/>
      </w:pPr>
      <w:rPr>
        <w:rFonts w:ascii="Courier New" w:hAnsi="Courier New" w:cs="Courier New" w:hint="default"/>
      </w:rPr>
    </w:lvl>
    <w:lvl w:ilvl="5" w:tplc="14242952" w:tentative="1">
      <w:start w:val="1"/>
      <w:numFmt w:val="bullet"/>
      <w:lvlText w:val=""/>
      <w:lvlJc w:val="left"/>
      <w:pPr>
        <w:ind w:left="3960" w:hanging="360"/>
      </w:pPr>
      <w:rPr>
        <w:rFonts w:ascii="Wingdings" w:hAnsi="Wingdings" w:hint="default"/>
      </w:rPr>
    </w:lvl>
    <w:lvl w:ilvl="6" w:tplc="80107684" w:tentative="1">
      <w:start w:val="1"/>
      <w:numFmt w:val="bullet"/>
      <w:lvlText w:val=""/>
      <w:lvlJc w:val="left"/>
      <w:pPr>
        <w:ind w:left="4680" w:hanging="360"/>
      </w:pPr>
      <w:rPr>
        <w:rFonts w:ascii="Symbol" w:hAnsi="Symbol" w:hint="default"/>
      </w:rPr>
    </w:lvl>
    <w:lvl w:ilvl="7" w:tplc="073E5090" w:tentative="1">
      <w:start w:val="1"/>
      <w:numFmt w:val="bullet"/>
      <w:lvlText w:val="o"/>
      <w:lvlJc w:val="left"/>
      <w:pPr>
        <w:ind w:left="5400" w:hanging="360"/>
      </w:pPr>
      <w:rPr>
        <w:rFonts w:ascii="Courier New" w:hAnsi="Courier New" w:cs="Courier New" w:hint="default"/>
      </w:rPr>
    </w:lvl>
    <w:lvl w:ilvl="8" w:tplc="01883B7C" w:tentative="1">
      <w:start w:val="1"/>
      <w:numFmt w:val="bullet"/>
      <w:lvlText w:val=""/>
      <w:lvlJc w:val="left"/>
      <w:pPr>
        <w:ind w:left="6120" w:hanging="360"/>
      </w:pPr>
      <w:rPr>
        <w:rFonts w:ascii="Wingdings" w:hAnsi="Wingdings" w:hint="default"/>
      </w:rPr>
    </w:lvl>
  </w:abstractNum>
  <w:abstractNum w:abstractNumId="1" w15:restartNumberingAfterBreak="0">
    <w:nsid w:val="02EB1D96"/>
    <w:multiLevelType w:val="multilevel"/>
    <w:tmpl w:val="B13CDD56"/>
    <w:numStyleLink w:val="BulletedList"/>
  </w:abstractNum>
  <w:abstractNum w:abstractNumId="2" w15:restartNumberingAfterBreak="0">
    <w:nsid w:val="107872B1"/>
    <w:multiLevelType w:val="multilevel"/>
    <w:tmpl w:val="B13CDD56"/>
    <w:numStyleLink w:val="BulletedList"/>
  </w:abstractNum>
  <w:abstractNum w:abstractNumId="3" w15:restartNumberingAfterBreak="0">
    <w:nsid w:val="11E95063"/>
    <w:multiLevelType w:val="hybridMultilevel"/>
    <w:tmpl w:val="0CE2A7C2"/>
    <w:lvl w:ilvl="0" w:tplc="43B0319E">
      <w:start w:val="1"/>
      <w:numFmt w:val="bullet"/>
      <w:pStyle w:val="BulletList"/>
      <w:lvlText w:val=""/>
      <w:lvlJc w:val="left"/>
      <w:pPr>
        <w:ind w:left="540" w:hanging="360"/>
      </w:pPr>
      <w:rPr>
        <w:rFonts w:ascii="Symbol" w:hAnsi="Symbol" w:hint="default"/>
        <w:color w:val="5083C9"/>
      </w:rPr>
    </w:lvl>
    <w:lvl w:ilvl="1" w:tplc="C30EA56A">
      <w:start w:val="1"/>
      <w:numFmt w:val="bullet"/>
      <w:lvlText w:val="o"/>
      <w:lvlJc w:val="left"/>
      <w:pPr>
        <w:ind w:left="1440" w:hanging="360"/>
      </w:pPr>
      <w:rPr>
        <w:rFonts w:ascii="Courier New" w:hAnsi="Courier New" w:cs="Courier New" w:hint="default"/>
      </w:rPr>
    </w:lvl>
    <w:lvl w:ilvl="2" w:tplc="7400C468">
      <w:start w:val="1"/>
      <w:numFmt w:val="bullet"/>
      <w:lvlText w:val=""/>
      <w:lvlJc w:val="left"/>
      <w:pPr>
        <w:ind w:left="2160" w:hanging="360"/>
      </w:pPr>
      <w:rPr>
        <w:rFonts w:ascii="Wingdings" w:hAnsi="Wingdings" w:hint="default"/>
      </w:rPr>
    </w:lvl>
    <w:lvl w:ilvl="3" w:tplc="5F2ECBE6" w:tentative="1">
      <w:start w:val="1"/>
      <w:numFmt w:val="bullet"/>
      <w:lvlText w:val=""/>
      <w:lvlJc w:val="left"/>
      <w:pPr>
        <w:ind w:left="2880" w:hanging="360"/>
      </w:pPr>
      <w:rPr>
        <w:rFonts w:ascii="Symbol" w:hAnsi="Symbol" w:hint="default"/>
      </w:rPr>
    </w:lvl>
    <w:lvl w:ilvl="4" w:tplc="CD54A8B6" w:tentative="1">
      <w:start w:val="1"/>
      <w:numFmt w:val="bullet"/>
      <w:lvlText w:val="o"/>
      <w:lvlJc w:val="left"/>
      <w:pPr>
        <w:ind w:left="3600" w:hanging="360"/>
      </w:pPr>
      <w:rPr>
        <w:rFonts w:ascii="Courier New" w:hAnsi="Courier New" w:cs="Courier New" w:hint="default"/>
      </w:rPr>
    </w:lvl>
    <w:lvl w:ilvl="5" w:tplc="D4322E56" w:tentative="1">
      <w:start w:val="1"/>
      <w:numFmt w:val="bullet"/>
      <w:lvlText w:val=""/>
      <w:lvlJc w:val="left"/>
      <w:pPr>
        <w:ind w:left="4320" w:hanging="360"/>
      </w:pPr>
      <w:rPr>
        <w:rFonts w:ascii="Wingdings" w:hAnsi="Wingdings" w:hint="default"/>
      </w:rPr>
    </w:lvl>
    <w:lvl w:ilvl="6" w:tplc="0E145D58" w:tentative="1">
      <w:start w:val="1"/>
      <w:numFmt w:val="bullet"/>
      <w:lvlText w:val=""/>
      <w:lvlJc w:val="left"/>
      <w:pPr>
        <w:ind w:left="5040" w:hanging="360"/>
      </w:pPr>
      <w:rPr>
        <w:rFonts w:ascii="Symbol" w:hAnsi="Symbol" w:hint="default"/>
      </w:rPr>
    </w:lvl>
    <w:lvl w:ilvl="7" w:tplc="82C41952" w:tentative="1">
      <w:start w:val="1"/>
      <w:numFmt w:val="bullet"/>
      <w:lvlText w:val="o"/>
      <w:lvlJc w:val="left"/>
      <w:pPr>
        <w:ind w:left="5760" w:hanging="360"/>
      </w:pPr>
      <w:rPr>
        <w:rFonts w:ascii="Courier New" w:hAnsi="Courier New" w:cs="Courier New" w:hint="default"/>
      </w:rPr>
    </w:lvl>
    <w:lvl w:ilvl="8" w:tplc="CD446734" w:tentative="1">
      <w:start w:val="1"/>
      <w:numFmt w:val="bullet"/>
      <w:lvlText w:val=""/>
      <w:lvlJc w:val="left"/>
      <w:pPr>
        <w:ind w:left="6480" w:hanging="360"/>
      </w:pPr>
      <w:rPr>
        <w:rFonts w:ascii="Wingdings" w:hAnsi="Wingdings" w:hint="default"/>
      </w:rPr>
    </w:lvl>
  </w:abstractNum>
  <w:abstractNum w:abstractNumId="4" w15:restartNumberingAfterBreak="0">
    <w:nsid w:val="1552176E"/>
    <w:multiLevelType w:val="multilevel"/>
    <w:tmpl w:val="B13CDD56"/>
    <w:numStyleLink w:val="BulletedList"/>
  </w:abstractNum>
  <w:abstractNum w:abstractNumId="5" w15:restartNumberingAfterBreak="0">
    <w:nsid w:val="15AF19AE"/>
    <w:multiLevelType w:val="multilevel"/>
    <w:tmpl w:val="B13CDD56"/>
    <w:numStyleLink w:val="BulletedList"/>
  </w:abstractNum>
  <w:abstractNum w:abstractNumId="6" w15:restartNumberingAfterBreak="0">
    <w:nsid w:val="1A270686"/>
    <w:multiLevelType w:val="hybridMultilevel"/>
    <w:tmpl w:val="409AC006"/>
    <w:lvl w:ilvl="0" w:tplc="E87464F6">
      <w:start w:val="1"/>
      <w:numFmt w:val="bullet"/>
      <w:pStyle w:val="Checkbox"/>
      <w:lvlText w:val=""/>
      <w:lvlJc w:val="left"/>
      <w:pPr>
        <w:ind w:left="1170" w:hanging="360"/>
      </w:pPr>
      <w:rPr>
        <w:rFonts w:ascii="Wingdings" w:hAnsi="Wingdings" w:hint="default"/>
        <w:color w:val="5083C9"/>
        <w:sz w:val="28"/>
      </w:rPr>
    </w:lvl>
    <w:lvl w:ilvl="1" w:tplc="A53CA2BE">
      <w:start w:val="1"/>
      <w:numFmt w:val="bullet"/>
      <w:lvlText w:val="o"/>
      <w:lvlJc w:val="left"/>
      <w:pPr>
        <w:ind w:left="2070" w:hanging="360"/>
      </w:pPr>
      <w:rPr>
        <w:rFonts w:ascii="Courier New" w:hAnsi="Courier New" w:cs="Courier New" w:hint="default"/>
      </w:rPr>
    </w:lvl>
    <w:lvl w:ilvl="2" w:tplc="0106AF9A">
      <w:start w:val="1"/>
      <w:numFmt w:val="bullet"/>
      <w:lvlText w:val=""/>
      <w:lvlJc w:val="left"/>
      <w:pPr>
        <w:ind w:left="2790" w:hanging="360"/>
      </w:pPr>
      <w:rPr>
        <w:rFonts w:ascii="Wingdings" w:hAnsi="Wingdings" w:hint="default"/>
      </w:rPr>
    </w:lvl>
    <w:lvl w:ilvl="3" w:tplc="19B6A686" w:tentative="1">
      <w:start w:val="1"/>
      <w:numFmt w:val="bullet"/>
      <w:lvlText w:val=""/>
      <w:lvlJc w:val="left"/>
      <w:pPr>
        <w:ind w:left="3510" w:hanging="360"/>
      </w:pPr>
      <w:rPr>
        <w:rFonts w:ascii="Symbol" w:hAnsi="Symbol" w:hint="default"/>
      </w:rPr>
    </w:lvl>
    <w:lvl w:ilvl="4" w:tplc="D80CBF88" w:tentative="1">
      <w:start w:val="1"/>
      <w:numFmt w:val="bullet"/>
      <w:lvlText w:val="o"/>
      <w:lvlJc w:val="left"/>
      <w:pPr>
        <w:ind w:left="4230" w:hanging="360"/>
      </w:pPr>
      <w:rPr>
        <w:rFonts w:ascii="Courier New" w:hAnsi="Courier New" w:cs="Courier New" w:hint="default"/>
      </w:rPr>
    </w:lvl>
    <w:lvl w:ilvl="5" w:tplc="4CE66EDE" w:tentative="1">
      <w:start w:val="1"/>
      <w:numFmt w:val="bullet"/>
      <w:lvlText w:val=""/>
      <w:lvlJc w:val="left"/>
      <w:pPr>
        <w:ind w:left="4950" w:hanging="360"/>
      </w:pPr>
      <w:rPr>
        <w:rFonts w:ascii="Wingdings" w:hAnsi="Wingdings" w:hint="default"/>
      </w:rPr>
    </w:lvl>
    <w:lvl w:ilvl="6" w:tplc="CB340F92" w:tentative="1">
      <w:start w:val="1"/>
      <w:numFmt w:val="bullet"/>
      <w:lvlText w:val=""/>
      <w:lvlJc w:val="left"/>
      <w:pPr>
        <w:ind w:left="5670" w:hanging="360"/>
      </w:pPr>
      <w:rPr>
        <w:rFonts w:ascii="Symbol" w:hAnsi="Symbol" w:hint="default"/>
      </w:rPr>
    </w:lvl>
    <w:lvl w:ilvl="7" w:tplc="C396F762" w:tentative="1">
      <w:start w:val="1"/>
      <w:numFmt w:val="bullet"/>
      <w:lvlText w:val="o"/>
      <w:lvlJc w:val="left"/>
      <w:pPr>
        <w:ind w:left="6390" w:hanging="360"/>
      </w:pPr>
      <w:rPr>
        <w:rFonts w:ascii="Courier New" w:hAnsi="Courier New" w:cs="Courier New" w:hint="default"/>
      </w:rPr>
    </w:lvl>
    <w:lvl w:ilvl="8" w:tplc="F56E17EE" w:tentative="1">
      <w:start w:val="1"/>
      <w:numFmt w:val="bullet"/>
      <w:lvlText w:val=""/>
      <w:lvlJc w:val="left"/>
      <w:pPr>
        <w:ind w:left="7110" w:hanging="360"/>
      </w:pPr>
      <w:rPr>
        <w:rFonts w:ascii="Wingdings" w:hAnsi="Wingdings" w:hint="default"/>
      </w:rPr>
    </w:lvl>
  </w:abstractNum>
  <w:abstractNum w:abstractNumId="7" w15:restartNumberingAfterBreak="0">
    <w:nsid w:val="1AA327BD"/>
    <w:multiLevelType w:val="multilevel"/>
    <w:tmpl w:val="5E0EC23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E32AF5"/>
    <w:multiLevelType w:val="multilevel"/>
    <w:tmpl w:val="B13CDD56"/>
    <w:styleLink w:val="BulletedList"/>
    <w:lvl w:ilvl="0">
      <w:start w:val="1"/>
      <w:numFmt w:val="bullet"/>
      <w:lvlText w:val=""/>
      <w:lvlJc w:val="left"/>
      <w:pPr>
        <w:ind w:left="360" w:hanging="360"/>
      </w:pPr>
      <w:rPr>
        <w:rFonts w:ascii="Symbol" w:hAnsi="Symbol" w:hint="default"/>
        <w:color w:val="5083C9"/>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7F01329"/>
    <w:multiLevelType w:val="multilevel"/>
    <w:tmpl w:val="6BF65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8601A1"/>
    <w:multiLevelType w:val="hybridMultilevel"/>
    <w:tmpl w:val="43CE94D6"/>
    <w:lvl w:ilvl="0" w:tplc="10E22078">
      <w:start w:val="1"/>
      <w:numFmt w:val="bullet"/>
      <w:lvlText w:val=""/>
      <w:lvlJc w:val="left"/>
      <w:pPr>
        <w:ind w:left="720" w:hanging="360"/>
      </w:pPr>
      <w:rPr>
        <w:rFonts w:ascii="Symbol" w:hAnsi="Symbol" w:hint="default"/>
      </w:rPr>
    </w:lvl>
    <w:lvl w:ilvl="1" w:tplc="F3A21252">
      <w:start w:val="1"/>
      <w:numFmt w:val="bullet"/>
      <w:lvlText w:val="o"/>
      <w:lvlJc w:val="left"/>
      <w:pPr>
        <w:ind w:left="1440" w:hanging="360"/>
      </w:pPr>
      <w:rPr>
        <w:rFonts w:ascii="Courier New" w:hAnsi="Courier New" w:hint="default"/>
      </w:rPr>
    </w:lvl>
    <w:lvl w:ilvl="2" w:tplc="1D2A54D0" w:tentative="1">
      <w:start w:val="1"/>
      <w:numFmt w:val="bullet"/>
      <w:lvlText w:val=""/>
      <w:lvlJc w:val="left"/>
      <w:pPr>
        <w:ind w:left="2160" w:hanging="360"/>
      </w:pPr>
      <w:rPr>
        <w:rFonts w:ascii="Wingdings" w:hAnsi="Wingdings" w:hint="default"/>
      </w:rPr>
    </w:lvl>
    <w:lvl w:ilvl="3" w:tplc="181C294C" w:tentative="1">
      <w:start w:val="1"/>
      <w:numFmt w:val="bullet"/>
      <w:lvlText w:val=""/>
      <w:lvlJc w:val="left"/>
      <w:pPr>
        <w:ind w:left="2880" w:hanging="360"/>
      </w:pPr>
      <w:rPr>
        <w:rFonts w:ascii="Symbol" w:hAnsi="Symbol" w:hint="default"/>
      </w:rPr>
    </w:lvl>
    <w:lvl w:ilvl="4" w:tplc="D78CA926" w:tentative="1">
      <w:start w:val="1"/>
      <w:numFmt w:val="bullet"/>
      <w:lvlText w:val="o"/>
      <w:lvlJc w:val="left"/>
      <w:pPr>
        <w:ind w:left="3600" w:hanging="360"/>
      </w:pPr>
      <w:rPr>
        <w:rFonts w:ascii="Courier New" w:hAnsi="Courier New" w:cs="Courier New" w:hint="default"/>
      </w:rPr>
    </w:lvl>
    <w:lvl w:ilvl="5" w:tplc="BDF61E16" w:tentative="1">
      <w:start w:val="1"/>
      <w:numFmt w:val="bullet"/>
      <w:lvlText w:val=""/>
      <w:lvlJc w:val="left"/>
      <w:pPr>
        <w:ind w:left="4320" w:hanging="360"/>
      </w:pPr>
      <w:rPr>
        <w:rFonts w:ascii="Wingdings" w:hAnsi="Wingdings" w:hint="default"/>
      </w:rPr>
    </w:lvl>
    <w:lvl w:ilvl="6" w:tplc="916A1214" w:tentative="1">
      <w:start w:val="1"/>
      <w:numFmt w:val="bullet"/>
      <w:lvlText w:val=""/>
      <w:lvlJc w:val="left"/>
      <w:pPr>
        <w:ind w:left="5040" w:hanging="360"/>
      </w:pPr>
      <w:rPr>
        <w:rFonts w:ascii="Symbol" w:hAnsi="Symbol" w:hint="default"/>
      </w:rPr>
    </w:lvl>
    <w:lvl w:ilvl="7" w:tplc="00D66C20" w:tentative="1">
      <w:start w:val="1"/>
      <w:numFmt w:val="bullet"/>
      <w:lvlText w:val="o"/>
      <w:lvlJc w:val="left"/>
      <w:pPr>
        <w:ind w:left="5760" w:hanging="360"/>
      </w:pPr>
      <w:rPr>
        <w:rFonts w:ascii="Courier New" w:hAnsi="Courier New" w:cs="Courier New" w:hint="default"/>
      </w:rPr>
    </w:lvl>
    <w:lvl w:ilvl="8" w:tplc="60B43062" w:tentative="1">
      <w:start w:val="1"/>
      <w:numFmt w:val="bullet"/>
      <w:lvlText w:val=""/>
      <w:lvlJc w:val="left"/>
      <w:pPr>
        <w:ind w:left="6480" w:hanging="360"/>
      </w:pPr>
      <w:rPr>
        <w:rFonts w:ascii="Wingdings" w:hAnsi="Wingdings" w:hint="default"/>
      </w:rPr>
    </w:lvl>
  </w:abstractNum>
  <w:abstractNum w:abstractNumId="11" w15:restartNumberingAfterBreak="0">
    <w:nsid w:val="4E624744"/>
    <w:multiLevelType w:val="hybridMultilevel"/>
    <w:tmpl w:val="D67CDEAC"/>
    <w:lvl w:ilvl="0" w:tplc="8F5C2AC2">
      <w:start w:val="1"/>
      <w:numFmt w:val="bullet"/>
      <w:pStyle w:val="Xbox"/>
      <w:lvlText w:val=""/>
      <w:lvlJc w:val="left"/>
      <w:pPr>
        <w:ind w:left="540" w:hanging="360"/>
      </w:pPr>
      <w:rPr>
        <w:rFonts w:ascii="Wingdings" w:hAnsi="Wingdings" w:hint="default"/>
        <w:color w:val="BD6363"/>
        <w:sz w:val="28"/>
      </w:rPr>
    </w:lvl>
    <w:lvl w:ilvl="1" w:tplc="A4F61EC2">
      <w:start w:val="1"/>
      <w:numFmt w:val="bullet"/>
      <w:lvlText w:val="o"/>
      <w:lvlJc w:val="left"/>
      <w:pPr>
        <w:ind w:left="1440" w:hanging="360"/>
      </w:pPr>
      <w:rPr>
        <w:rFonts w:ascii="Courier New" w:hAnsi="Courier New" w:cs="Courier New" w:hint="default"/>
      </w:rPr>
    </w:lvl>
    <w:lvl w:ilvl="2" w:tplc="845A16DC" w:tentative="1">
      <w:start w:val="1"/>
      <w:numFmt w:val="bullet"/>
      <w:lvlText w:val=""/>
      <w:lvlJc w:val="left"/>
      <w:pPr>
        <w:ind w:left="2160" w:hanging="360"/>
      </w:pPr>
      <w:rPr>
        <w:rFonts w:ascii="Wingdings" w:hAnsi="Wingdings" w:hint="default"/>
      </w:rPr>
    </w:lvl>
    <w:lvl w:ilvl="3" w:tplc="79D6849C" w:tentative="1">
      <w:start w:val="1"/>
      <w:numFmt w:val="bullet"/>
      <w:lvlText w:val=""/>
      <w:lvlJc w:val="left"/>
      <w:pPr>
        <w:ind w:left="2880" w:hanging="360"/>
      </w:pPr>
      <w:rPr>
        <w:rFonts w:ascii="Symbol" w:hAnsi="Symbol" w:hint="default"/>
      </w:rPr>
    </w:lvl>
    <w:lvl w:ilvl="4" w:tplc="FAC62ECC" w:tentative="1">
      <w:start w:val="1"/>
      <w:numFmt w:val="bullet"/>
      <w:lvlText w:val="o"/>
      <w:lvlJc w:val="left"/>
      <w:pPr>
        <w:ind w:left="3600" w:hanging="360"/>
      </w:pPr>
      <w:rPr>
        <w:rFonts w:ascii="Courier New" w:hAnsi="Courier New" w:cs="Courier New" w:hint="default"/>
      </w:rPr>
    </w:lvl>
    <w:lvl w:ilvl="5" w:tplc="D3260E68" w:tentative="1">
      <w:start w:val="1"/>
      <w:numFmt w:val="bullet"/>
      <w:lvlText w:val=""/>
      <w:lvlJc w:val="left"/>
      <w:pPr>
        <w:ind w:left="4320" w:hanging="360"/>
      </w:pPr>
      <w:rPr>
        <w:rFonts w:ascii="Wingdings" w:hAnsi="Wingdings" w:hint="default"/>
      </w:rPr>
    </w:lvl>
    <w:lvl w:ilvl="6" w:tplc="0636C2D4" w:tentative="1">
      <w:start w:val="1"/>
      <w:numFmt w:val="bullet"/>
      <w:lvlText w:val=""/>
      <w:lvlJc w:val="left"/>
      <w:pPr>
        <w:ind w:left="5040" w:hanging="360"/>
      </w:pPr>
      <w:rPr>
        <w:rFonts w:ascii="Symbol" w:hAnsi="Symbol" w:hint="default"/>
      </w:rPr>
    </w:lvl>
    <w:lvl w:ilvl="7" w:tplc="F28813D2" w:tentative="1">
      <w:start w:val="1"/>
      <w:numFmt w:val="bullet"/>
      <w:lvlText w:val="o"/>
      <w:lvlJc w:val="left"/>
      <w:pPr>
        <w:ind w:left="5760" w:hanging="360"/>
      </w:pPr>
      <w:rPr>
        <w:rFonts w:ascii="Courier New" w:hAnsi="Courier New" w:cs="Courier New" w:hint="default"/>
      </w:rPr>
    </w:lvl>
    <w:lvl w:ilvl="8" w:tplc="A9385D8E" w:tentative="1">
      <w:start w:val="1"/>
      <w:numFmt w:val="bullet"/>
      <w:lvlText w:val=""/>
      <w:lvlJc w:val="left"/>
      <w:pPr>
        <w:ind w:left="6480" w:hanging="360"/>
      </w:pPr>
      <w:rPr>
        <w:rFonts w:ascii="Wingdings" w:hAnsi="Wingdings" w:hint="default"/>
      </w:rPr>
    </w:lvl>
  </w:abstractNum>
  <w:abstractNum w:abstractNumId="12" w15:restartNumberingAfterBreak="0">
    <w:nsid w:val="532D3351"/>
    <w:multiLevelType w:val="hybridMultilevel"/>
    <w:tmpl w:val="C1848754"/>
    <w:lvl w:ilvl="0" w:tplc="20AA7226">
      <w:start w:val="1"/>
      <w:numFmt w:val="decimal"/>
      <w:lvlText w:val="%1."/>
      <w:lvlJc w:val="left"/>
      <w:pPr>
        <w:ind w:left="720" w:hanging="360"/>
      </w:pPr>
      <w:rPr>
        <w:rFonts w:hint="default"/>
        <w:color w:val="6F61B0"/>
      </w:rPr>
    </w:lvl>
    <w:lvl w:ilvl="1" w:tplc="9CCA5A1A">
      <w:start w:val="1"/>
      <w:numFmt w:val="bullet"/>
      <w:lvlText w:val=""/>
      <w:lvlJc w:val="left"/>
      <w:pPr>
        <w:ind w:left="1440" w:hanging="360"/>
      </w:pPr>
      <w:rPr>
        <w:rFonts w:ascii="Symbol" w:hAnsi="Symbol" w:hint="default"/>
      </w:rPr>
    </w:lvl>
    <w:lvl w:ilvl="2" w:tplc="1ECAA954">
      <w:start w:val="1"/>
      <w:numFmt w:val="bullet"/>
      <w:lvlText w:val=""/>
      <w:lvlJc w:val="left"/>
      <w:pPr>
        <w:ind w:left="2160" w:hanging="360"/>
      </w:pPr>
      <w:rPr>
        <w:rFonts w:ascii="Wingdings" w:hAnsi="Wingdings" w:hint="default"/>
      </w:rPr>
    </w:lvl>
    <w:lvl w:ilvl="3" w:tplc="9AD2CFD2">
      <w:start w:val="1"/>
      <w:numFmt w:val="bullet"/>
      <w:lvlText w:val=""/>
      <w:lvlJc w:val="left"/>
      <w:pPr>
        <w:ind w:left="2880" w:hanging="360"/>
      </w:pPr>
      <w:rPr>
        <w:rFonts w:ascii="Symbol" w:hAnsi="Symbol" w:hint="default"/>
      </w:rPr>
    </w:lvl>
    <w:lvl w:ilvl="4" w:tplc="31667F96" w:tentative="1">
      <w:start w:val="1"/>
      <w:numFmt w:val="bullet"/>
      <w:lvlText w:val="o"/>
      <w:lvlJc w:val="left"/>
      <w:pPr>
        <w:ind w:left="3600" w:hanging="360"/>
      </w:pPr>
      <w:rPr>
        <w:rFonts w:ascii="Courier New" w:hAnsi="Courier New" w:cs="Courier New" w:hint="default"/>
      </w:rPr>
    </w:lvl>
    <w:lvl w:ilvl="5" w:tplc="23363BEC" w:tentative="1">
      <w:start w:val="1"/>
      <w:numFmt w:val="bullet"/>
      <w:lvlText w:val=""/>
      <w:lvlJc w:val="left"/>
      <w:pPr>
        <w:ind w:left="4320" w:hanging="360"/>
      </w:pPr>
      <w:rPr>
        <w:rFonts w:ascii="Wingdings" w:hAnsi="Wingdings" w:hint="default"/>
      </w:rPr>
    </w:lvl>
    <w:lvl w:ilvl="6" w:tplc="4FC23EAA" w:tentative="1">
      <w:start w:val="1"/>
      <w:numFmt w:val="bullet"/>
      <w:lvlText w:val=""/>
      <w:lvlJc w:val="left"/>
      <w:pPr>
        <w:ind w:left="5040" w:hanging="360"/>
      </w:pPr>
      <w:rPr>
        <w:rFonts w:ascii="Symbol" w:hAnsi="Symbol" w:hint="default"/>
      </w:rPr>
    </w:lvl>
    <w:lvl w:ilvl="7" w:tplc="7F06B010" w:tentative="1">
      <w:start w:val="1"/>
      <w:numFmt w:val="bullet"/>
      <w:lvlText w:val="o"/>
      <w:lvlJc w:val="left"/>
      <w:pPr>
        <w:ind w:left="5760" w:hanging="360"/>
      </w:pPr>
      <w:rPr>
        <w:rFonts w:ascii="Courier New" w:hAnsi="Courier New" w:cs="Courier New" w:hint="default"/>
      </w:rPr>
    </w:lvl>
    <w:lvl w:ilvl="8" w:tplc="CF64B242" w:tentative="1">
      <w:start w:val="1"/>
      <w:numFmt w:val="bullet"/>
      <w:lvlText w:val=""/>
      <w:lvlJc w:val="left"/>
      <w:pPr>
        <w:ind w:left="6480" w:hanging="360"/>
      </w:pPr>
      <w:rPr>
        <w:rFonts w:ascii="Wingdings" w:hAnsi="Wingdings" w:hint="default"/>
      </w:rPr>
    </w:lvl>
  </w:abstractNum>
  <w:abstractNum w:abstractNumId="13" w15:restartNumberingAfterBreak="0">
    <w:nsid w:val="5BB447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BD41DC0"/>
    <w:multiLevelType w:val="multilevel"/>
    <w:tmpl w:val="B13CDD56"/>
    <w:numStyleLink w:val="BulletedList"/>
  </w:abstractNum>
  <w:abstractNum w:abstractNumId="15" w15:restartNumberingAfterBreak="0">
    <w:nsid w:val="5F807DAB"/>
    <w:multiLevelType w:val="hybridMultilevel"/>
    <w:tmpl w:val="C1848754"/>
    <w:lvl w:ilvl="0" w:tplc="8776233E">
      <w:start w:val="1"/>
      <w:numFmt w:val="decimal"/>
      <w:lvlText w:val="%1."/>
      <w:lvlJc w:val="left"/>
      <w:pPr>
        <w:ind w:left="720" w:hanging="360"/>
      </w:pPr>
      <w:rPr>
        <w:rFonts w:hint="default"/>
        <w:color w:val="6F61B0"/>
      </w:rPr>
    </w:lvl>
    <w:lvl w:ilvl="1" w:tplc="5136F0CC">
      <w:start w:val="1"/>
      <w:numFmt w:val="bullet"/>
      <w:lvlText w:val=""/>
      <w:lvlJc w:val="left"/>
      <w:pPr>
        <w:ind w:left="1440" w:hanging="360"/>
      </w:pPr>
      <w:rPr>
        <w:rFonts w:ascii="Symbol" w:hAnsi="Symbol" w:hint="default"/>
      </w:rPr>
    </w:lvl>
    <w:lvl w:ilvl="2" w:tplc="58FE9C0C">
      <w:start w:val="1"/>
      <w:numFmt w:val="bullet"/>
      <w:lvlText w:val=""/>
      <w:lvlJc w:val="left"/>
      <w:pPr>
        <w:ind w:left="2160" w:hanging="360"/>
      </w:pPr>
      <w:rPr>
        <w:rFonts w:ascii="Wingdings" w:hAnsi="Wingdings" w:hint="default"/>
      </w:rPr>
    </w:lvl>
    <w:lvl w:ilvl="3" w:tplc="04D6F44C">
      <w:start w:val="1"/>
      <w:numFmt w:val="bullet"/>
      <w:lvlText w:val=""/>
      <w:lvlJc w:val="left"/>
      <w:pPr>
        <w:ind w:left="2880" w:hanging="360"/>
      </w:pPr>
      <w:rPr>
        <w:rFonts w:ascii="Symbol" w:hAnsi="Symbol" w:hint="default"/>
      </w:rPr>
    </w:lvl>
    <w:lvl w:ilvl="4" w:tplc="93245A50" w:tentative="1">
      <w:start w:val="1"/>
      <w:numFmt w:val="bullet"/>
      <w:lvlText w:val="o"/>
      <w:lvlJc w:val="left"/>
      <w:pPr>
        <w:ind w:left="3600" w:hanging="360"/>
      </w:pPr>
      <w:rPr>
        <w:rFonts w:ascii="Courier New" w:hAnsi="Courier New" w:cs="Courier New" w:hint="default"/>
      </w:rPr>
    </w:lvl>
    <w:lvl w:ilvl="5" w:tplc="3886CBC6" w:tentative="1">
      <w:start w:val="1"/>
      <w:numFmt w:val="bullet"/>
      <w:lvlText w:val=""/>
      <w:lvlJc w:val="left"/>
      <w:pPr>
        <w:ind w:left="4320" w:hanging="360"/>
      </w:pPr>
      <w:rPr>
        <w:rFonts w:ascii="Wingdings" w:hAnsi="Wingdings" w:hint="default"/>
      </w:rPr>
    </w:lvl>
    <w:lvl w:ilvl="6" w:tplc="231C637C" w:tentative="1">
      <w:start w:val="1"/>
      <w:numFmt w:val="bullet"/>
      <w:lvlText w:val=""/>
      <w:lvlJc w:val="left"/>
      <w:pPr>
        <w:ind w:left="5040" w:hanging="360"/>
      </w:pPr>
      <w:rPr>
        <w:rFonts w:ascii="Symbol" w:hAnsi="Symbol" w:hint="default"/>
      </w:rPr>
    </w:lvl>
    <w:lvl w:ilvl="7" w:tplc="2C1EEF6E" w:tentative="1">
      <w:start w:val="1"/>
      <w:numFmt w:val="bullet"/>
      <w:lvlText w:val="o"/>
      <w:lvlJc w:val="left"/>
      <w:pPr>
        <w:ind w:left="5760" w:hanging="360"/>
      </w:pPr>
      <w:rPr>
        <w:rFonts w:ascii="Courier New" w:hAnsi="Courier New" w:cs="Courier New" w:hint="default"/>
      </w:rPr>
    </w:lvl>
    <w:lvl w:ilvl="8" w:tplc="062C118E" w:tentative="1">
      <w:start w:val="1"/>
      <w:numFmt w:val="bullet"/>
      <w:lvlText w:val=""/>
      <w:lvlJc w:val="left"/>
      <w:pPr>
        <w:ind w:left="6480" w:hanging="360"/>
      </w:pPr>
      <w:rPr>
        <w:rFonts w:ascii="Wingdings" w:hAnsi="Wingdings" w:hint="default"/>
      </w:rPr>
    </w:lvl>
  </w:abstractNum>
  <w:abstractNum w:abstractNumId="16" w15:restartNumberingAfterBreak="0">
    <w:nsid w:val="706E0AA3"/>
    <w:multiLevelType w:val="hybridMultilevel"/>
    <w:tmpl w:val="839A40D6"/>
    <w:lvl w:ilvl="0" w:tplc="2F9825FA">
      <w:start w:val="1"/>
      <w:numFmt w:val="bullet"/>
      <w:lvlText w:val=""/>
      <w:lvlJc w:val="left"/>
      <w:pPr>
        <w:ind w:left="720" w:hanging="360"/>
      </w:pPr>
      <w:rPr>
        <w:rFonts w:ascii="Symbol" w:hAnsi="Symbol" w:hint="default"/>
        <w:color w:val="5083C9"/>
      </w:rPr>
    </w:lvl>
    <w:lvl w:ilvl="1" w:tplc="6692901E" w:tentative="1">
      <w:start w:val="1"/>
      <w:numFmt w:val="bullet"/>
      <w:lvlText w:val="o"/>
      <w:lvlJc w:val="left"/>
      <w:pPr>
        <w:ind w:left="1440" w:hanging="360"/>
      </w:pPr>
      <w:rPr>
        <w:rFonts w:ascii="Courier New" w:hAnsi="Courier New" w:cs="Courier New" w:hint="default"/>
      </w:rPr>
    </w:lvl>
    <w:lvl w:ilvl="2" w:tplc="5F34DC94" w:tentative="1">
      <w:start w:val="1"/>
      <w:numFmt w:val="bullet"/>
      <w:lvlText w:val=""/>
      <w:lvlJc w:val="left"/>
      <w:pPr>
        <w:ind w:left="2160" w:hanging="360"/>
      </w:pPr>
      <w:rPr>
        <w:rFonts w:ascii="Wingdings" w:hAnsi="Wingdings" w:hint="default"/>
      </w:rPr>
    </w:lvl>
    <w:lvl w:ilvl="3" w:tplc="9EBC20D6" w:tentative="1">
      <w:start w:val="1"/>
      <w:numFmt w:val="bullet"/>
      <w:lvlText w:val=""/>
      <w:lvlJc w:val="left"/>
      <w:pPr>
        <w:ind w:left="2880" w:hanging="360"/>
      </w:pPr>
      <w:rPr>
        <w:rFonts w:ascii="Symbol" w:hAnsi="Symbol" w:hint="default"/>
      </w:rPr>
    </w:lvl>
    <w:lvl w:ilvl="4" w:tplc="F74221B8" w:tentative="1">
      <w:start w:val="1"/>
      <w:numFmt w:val="bullet"/>
      <w:lvlText w:val="o"/>
      <w:lvlJc w:val="left"/>
      <w:pPr>
        <w:ind w:left="3600" w:hanging="360"/>
      </w:pPr>
      <w:rPr>
        <w:rFonts w:ascii="Courier New" w:hAnsi="Courier New" w:cs="Courier New" w:hint="default"/>
      </w:rPr>
    </w:lvl>
    <w:lvl w:ilvl="5" w:tplc="1C40189E" w:tentative="1">
      <w:start w:val="1"/>
      <w:numFmt w:val="bullet"/>
      <w:lvlText w:val=""/>
      <w:lvlJc w:val="left"/>
      <w:pPr>
        <w:ind w:left="4320" w:hanging="360"/>
      </w:pPr>
      <w:rPr>
        <w:rFonts w:ascii="Wingdings" w:hAnsi="Wingdings" w:hint="default"/>
      </w:rPr>
    </w:lvl>
    <w:lvl w:ilvl="6" w:tplc="EF0E7C52" w:tentative="1">
      <w:start w:val="1"/>
      <w:numFmt w:val="bullet"/>
      <w:lvlText w:val=""/>
      <w:lvlJc w:val="left"/>
      <w:pPr>
        <w:ind w:left="5040" w:hanging="360"/>
      </w:pPr>
      <w:rPr>
        <w:rFonts w:ascii="Symbol" w:hAnsi="Symbol" w:hint="default"/>
      </w:rPr>
    </w:lvl>
    <w:lvl w:ilvl="7" w:tplc="DD9C59EA" w:tentative="1">
      <w:start w:val="1"/>
      <w:numFmt w:val="bullet"/>
      <w:lvlText w:val="o"/>
      <w:lvlJc w:val="left"/>
      <w:pPr>
        <w:ind w:left="5760" w:hanging="360"/>
      </w:pPr>
      <w:rPr>
        <w:rFonts w:ascii="Courier New" w:hAnsi="Courier New" w:cs="Courier New" w:hint="default"/>
      </w:rPr>
    </w:lvl>
    <w:lvl w:ilvl="8" w:tplc="BEF205CE" w:tentative="1">
      <w:start w:val="1"/>
      <w:numFmt w:val="bullet"/>
      <w:lvlText w:val=""/>
      <w:lvlJc w:val="left"/>
      <w:pPr>
        <w:ind w:left="6480" w:hanging="360"/>
      </w:pPr>
      <w:rPr>
        <w:rFonts w:ascii="Wingdings" w:hAnsi="Wingdings" w:hint="default"/>
      </w:rPr>
    </w:lvl>
  </w:abstractNum>
  <w:abstractNum w:abstractNumId="17" w15:restartNumberingAfterBreak="0">
    <w:nsid w:val="7748530C"/>
    <w:multiLevelType w:val="multilevel"/>
    <w:tmpl w:val="B13CDD56"/>
    <w:numStyleLink w:val="BulletedList"/>
  </w:abstractNum>
  <w:num w:numId="1">
    <w:abstractNumId w:val="3"/>
  </w:num>
  <w:num w:numId="2">
    <w:abstractNumId w:val="10"/>
  </w:num>
  <w:num w:numId="3">
    <w:abstractNumId w:val="6"/>
  </w:num>
  <w:num w:numId="4">
    <w:abstractNumId w:val="11"/>
  </w:num>
  <w:num w:numId="5">
    <w:abstractNumId w:val="16"/>
  </w:num>
  <w:num w:numId="6">
    <w:abstractNumId w:val="7"/>
  </w:num>
  <w:num w:numId="7">
    <w:abstractNumId w:val="13"/>
  </w:num>
  <w:num w:numId="8">
    <w:abstractNumId w:val="8"/>
  </w:num>
  <w:num w:numId="9">
    <w:abstractNumId w:val="1"/>
  </w:num>
  <w:num w:numId="10">
    <w:abstractNumId w:val="2"/>
  </w:num>
  <w:num w:numId="11">
    <w:abstractNumId w:val="14"/>
  </w:num>
  <w:num w:numId="12">
    <w:abstractNumId w:val="5"/>
  </w:num>
  <w:num w:numId="13">
    <w:abstractNumId w:val="4"/>
  </w:num>
  <w:num w:numId="14">
    <w:abstractNumId w:val="17"/>
  </w:num>
  <w:num w:numId="15">
    <w:abstractNumId w:val="0"/>
  </w:num>
  <w:num w:numId="16">
    <w:abstractNumId w:val="12"/>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0NjQwNDMyMTMEcpR0lIJTi4sz8/NACgxrAQ+FwvosAAAA"/>
  </w:docVars>
  <w:rsids>
    <w:rsidRoot w:val="00EC3924"/>
    <w:rsid w:val="00003598"/>
    <w:rsid w:val="00022BAB"/>
    <w:rsid w:val="000263F8"/>
    <w:rsid w:val="000278D9"/>
    <w:rsid w:val="000338E6"/>
    <w:rsid w:val="00037A6B"/>
    <w:rsid w:val="00043895"/>
    <w:rsid w:val="00060CCE"/>
    <w:rsid w:val="000812EE"/>
    <w:rsid w:val="00081AF4"/>
    <w:rsid w:val="00087211"/>
    <w:rsid w:val="000908AA"/>
    <w:rsid w:val="00090E64"/>
    <w:rsid w:val="000B4C2A"/>
    <w:rsid w:val="000B5471"/>
    <w:rsid w:val="000F2585"/>
    <w:rsid w:val="000F3E81"/>
    <w:rsid w:val="00103F8C"/>
    <w:rsid w:val="00110963"/>
    <w:rsid w:val="0012162D"/>
    <w:rsid w:val="00123DAE"/>
    <w:rsid w:val="001251F8"/>
    <w:rsid w:val="00127CA1"/>
    <w:rsid w:val="0013247F"/>
    <w:rsid w:val="00134FA3"/>
    <w:rsid w:val="00136162"/>
    <w:rsid w:val="0014064C"/>
    <w:rsid w:val="00144E64"/>
    <w:rsid w:val="001464BE"/>
    <w:rsid w:val="00146A23"/>
    <w:rsid w:val="00146D89"/>
    <w:rsid w:val="00150559"/>
    <w:rsid w:val="00154D04"/>
    <w:rsid w:val="00171781"/>
    <w:rsid w:val="001725D9"/>
    <w:rsid w:val="0019007E"/>
    <w:rsid w:val="001A0684"/>
    <w:rsid w:val="001A365C"/>
    <w:rsid w:val="001A6245"/>
    <w:rsid w:val="001B1A7E"/>
    <w:rsid w:val="001B200A"/>
    <w:rsid w:val="001B296C"/>
    <w:rsid w:val="001C58E0"/>
    <w:rsid w:val="001D4D10"/>
    <w:rsid w:val="001D6EA0"/>
    <w:rsid w:val="001E4B5D"/>
    <w:rsid w:val="001E65EC"/>
    <w:rsid w:val="00200E2B"/>
    <w:rsid w:val="002016B5"/>
    <w:rsid w:val="002124F8"/>
    <w:rsid w:val="002202E6"/>
    <w:rsid w:val="002264FF"/>
    <w:rsid w:val="0022665B"/>
    <w:rsid w:val="0023199E"/>
    <w:rsid w:val="0024208C"/>
    <w:rsid w:val="002512D7"/>
    <w:rsid w:val="00251D88"/>
    <w:rsid w:val="0026000D"/>
    <w:rsid w:val="00267C01"/>
    <w:rsid w:val="00282C22"/>
    <w:rsid w:val="00285CDA"/>
    <w:rsid w:val="00285D4A"/>
    <w:rsid w:val="002A2A0E"/>
    <w:rsid w:val="002A30B0"/>
    <w:rsid w:val="002A3F8C"/>
    <w:rsid w:val="002A5815"/>
    <w:rsid w:val="002A657E"/>
    <w:rsid w:val="002B2A70"/>
    <w:rsid w:val="002B2B1E"/>
    <w:rsid w:val="002C002A"/>
    <w:rsid w:val="002C3E1E"/>
    <w:rsid w:val="002C76C0"/>
    <w:rsid w:val="002D23E0"/>
    <w:rsid w:val="002D5FF8"/>
    <w:rsid w:val="002F02F6"/>
    <w:rsid w:val="002F0A3E"/>
    <w:rsid w:val="002F3982"/>
    <w:rsid w:val="00306553"/>
    <w:rsid w:val="003075C4"/>
    <w:rsid w:val="003117A5"/>
    <w:rsid w:val="00323A26"/>
    <w:rsid w:val="00326673"/>
    <w:rsid w:val="003267EB"/>
    <w:rsid w:val="00332BC1"/>
    <w:rsid w:val="00336B2E"/>
    <w:rsid w:val="00340702"/>
    <w:rsid w:val="0035530B"/>
    <w:rsid w:val="00360556"/>
    <w:rsid w:val="00362845"/>
    <w:rsid w:val="0036666E"/>
    <w:rsid w:val="00366E56"/>
    <w:rsid w:val="003747EC"/>
    <w:rsid w:val="0037553A"/>
    <w:rsid w:val="003A6B72"/>
    <w:rsid w:val="003C0C3D"/>
    <w:rsid w:val="003C10A8"/>
    <w:rsid w:val="003C5F21"/>
    <w:rsid w:val="003D2D75"/>
    <w:rsid w:val="003D6208"/>
    <w:rsid w:val="0040083C"/>
    <w:rsid w:val="004022E4"/>
    <w:rsid w:val="004076AE"/>
    <w:rsid w:val="0042178D"/>
    <w:rsid w:val="00422541"/>
    <w:rsid w:val="004236E8"/>
    <w:rsid w:val="00432120"/>
    <w:rsid w:val="00441851"/>
    <w:rsid w:val="0045075D"/>
    <w:rsid w:val="00452237"/>
    <w:rsid w:val="00453953"/>
    <w:rsid w:val="004615A2"/>
    <w:rsid w:val="00467D27"/>
    <w:rsid w:val="004802B0"/>
    <w:rsid w:val="00485C3A"/>
    <w:rsid w:val="0049373A"/>
    <w:rsid w:val="0049654B"/>
    <w:rsid w:val="004967FA"/>
    <w:rsid w:val="0049708A"/>
    <w:rsid w:val="004A6937"/>
    <w:rsid w:val="004B0946"/>
    <w:rsid w:val="004B125C"/>
    <w:rsid w:val="004C00E1"/>
    <w:rsid w:val="004C3D39"/>
    <w:rsid w:val="004D3638"/>
    <w:rsid w:val="004F1899"/>
    <w:rsid w:val="004F3D1A"/>
    <w:rsid w:val="004F7B79"/>
    <w:rsid w:val="00500EDF"/>
    <w:rsid w:val="005019F9"/>
    <w:rsid w:val="005117FF"/>
    <w:rsid w:val="00520FE5"/>
    <w:rsid w:val="00534014"/>
    <w:rsid w:val="00547179"/>
    <w:rsid w:val="00557AE7"/>
    <w:rsid w:val="005620AF"/>
    <w:rsid w:val="00564836"/>
    <w:rsid w:val="005704D1"/>
    <w:rsid w:val="005738A9"/>
    <w:rsid w:val="00574C31"/>
    <w:rsid w:val="0057511B"/>
    <w:rsid w:val="00584096"/>
    <w:rsid w:val="00584B55"/>
    <w:rsid w:val="00585290"/>
    <w:rsid w:val="0059040A"/>
    <w:rsid w:val="0059539D"/>
    <w:rsid w:val="00595AAB"/>
    <w:rsid w:val="005A1F47"/>
    <w:rsid w:val="005A4A1C"/>
    <w:rsid w:val="005B652B"/>
    <w:rsid w:val="005D05D9"/>
    <w:rsid w:val="005E5147"/>
    <w:rsid w:val="005F3463"/>
    <w:rsid w:val="005F4596"/>
    <w:rsid w:val="005F5CE7"/>
    <w:rsid w:val="005F7243"/>
    <w:rsid w:val="00604A7D"/>
    <w:rsid w:val="006116F8"/>
    <w:rsid w:val="0061597F"/>
    <w:rsid w:val="00617267"/>
    <w:rsid w:val="006203DF"/>
    <w:rsid w:val="0062098D"/>
    <w:rsid w:val="00632F15"/>
    <w:rsid w:val="006372D3"/>
    <w:rsid w:val="006448F5"/>
    <w:rsid w:val="00647961"/>
    <w:rsid w:val="00657E30"/>
    <w:rsid w:val="0066453D"/>
    <w:rsid w:val="00682C43"/>
    <w:rsid w:val="00686A0E"/>
    <w:rsid w:val="00691241"/>
    <w:rsid w:val="006A407C"/>
    <w:rsid w:val="006A63B4"/>
    <w:rsid w:val="006C5829"/>
    <w:rsid w:val="006C6717"/>
    <w:rsid w:val="006D2D6D"/>
    <w:rsid w:val="006D393F"/>
    <w:rsid w:val="006D3B8D"/>
    <w:rsid w:val="006D4A85"/>
    <w:rsid w:val="006D5640"/>
    <w:rsid w:val="006E560E"/>
    <w:rsid w:val="006E6876"/>
    <w:rsid w:val="0070052C"/>
    <w:rsid w:val="007005BA"/>
    <w:rsid w:val="0070477F"/>
    <w:rsid w:val="00707343"/>
    <w:rsid w:val="00710C3B"/>
    <w:rsid w:val="007260E8"/>
    <w:rsid w:val="007318F0"/>
    <w:rsid w:val="00732BAF"/>
    <w:rsid w:val="00755304"/>
    <w:rsid w:val="00757D67"/>
    <w:rsid w:val="00761DAB"/>
    <w:rsid w:val="00763768"/>
    <w:rsid w:val="00765B53"/>
    <w:rsid w:val="00765CAD"/>
    <w:rsid w:val="007771A2"/>
    <w:rsid w:val="00791090"/>
    <w:rsid w:val="007A449D"/>
    <w:rsid w:val="007A54A8"/>
    <w:rsid w:val="007A60EB"/>
    <w:rsid w:val="007B5200"/>
    <w:rsid w:val="007D1039"/>
    <w:rsid w:val="007D306E"/>
    <w:rsid w:val="007D5EFD"/>
    <w:rsid w:val="007E3281"/>
    <w:rsid w:val="007F3085"/>
    <w:rsid w:val="007F53ED"/>
    <w:rsid w:val="007F7D78"/>
    <w:rsid w:val="00802FF0"/>
    <w:rsid w:val="008120A4"/>
    <w:rsid w:val="00814E14"/>
    <w:rsid w:val="008179FB"/>
    <w:rsid w:val="00817EEE"/>
    <w:rsid w:val="00826394"/>
    <w:rsid w:val="0084144F"/>
    <w:rsid w:val="00844896"/>
    <w:rsid w:val="00852703"/>
    <w:rsid w:val="008567B2"/>
    <w:rsid w:val="00864FBD"/>
    <w:rsid w:val="008705A5"/>
    <w:rsid w:val="00874B1C"/>
    <w:rsid w:val="008763E8"/>
    <w:rsid w:val="00884C63"/>
    <w:rsid w:val="00892115"/>
    <w:rsid w:val="008A7E71"/>
    <w:rsid w:val="008B3699"/>
    <w:rsid w:val="008C5137"/>
    <w:rsid w:val="008D0075"/>
    <w:rsid w:val="008D61EB"/>
    <w:rsid w:val="008F4F8E"/>
    <w:rsid w:val="008F7B15"/>
    <w:rsid w:val="00906550"/>
    <w:rsid w:val="00912B86"/>
    <w:rsid w:val="00913ADC"/>
    <w:rsid w:val="00917ECC"/>
    <w:rsid w:val="00920B09"/>
    <w:rsid w:val="00924FA9"/>
    <w:rsid w:val="00926535"/>
    <w:rsid w:val="00943082"/>
    <w:rsid w:val="00944C97"/>
    <w:rsid w:val="00946818"/>
    <w:rsid w:val="00947E11"/>
    <w:rsid w:val="00960BF6"/>
    <w:rsid w:val="00962E99"/>
    <w:rsid w:val="00965752"/>
    <w:rsid w:val="00965765"/>
    <w:rsid w:val="009730F6"/>
    <w:rsid w:val="00977565"/>
    <w:rsid w:val="009806F0"/>
    <w:rsid w:val="00984F49"/>
    <w:rsid w:val="0098636D"/>
    <w:rsid w:val="00993033"/>
    <w:rsid w:val="00994E35"/>
    <w:rsid w:val="009A6684"/>
    <w:rsid w:val="009B04C4"/>
    <w:rsid w:val="009B38A9"/>
    <w:rsid w:val="009D38FB"/>
    <w:rsid w:val="009D4BB6"/>
    <w:rsid w:val="009E02FC"/>
    <w:rsid w:val="009E2C40"/>
    <w:rsid w:val="009E4DC9"/>
    <w:rsid w:val="009E7524"/>
    <w:rsid w:val="009F3CA3"/>
    <w:rsid w:val="00A00694"/>
    <w:rsid w:val="00A20E81"/>
    <w:rsid w:val="00A237FF"/>
    <w:rsid w:val="00A2693F"/>
    <w:rsid w:val="00A32721"/>
    <w:rsid w:val="00A33475"/>
    <w:rsid w:val="00A337BD"/>
    <w:rsid w:val="00A33B3A"/>
    <w:rsid w:val="00A357CD"/>
    <w:rsid w:val="00A42C82"/>
    <w:rsid w:val="00A47C53"/>
    <w:rsid w:val="00A619D3"/>
    <w:rsid w:val="00A61EB2"/>
    <w:rsid w:val="00A76A70"/>
    <w:rsid w:val="00A8186B"/>
    <w:rsid w:val="00A83C9F"/>
    <w:rsid w:val="00A939AD"/>
    <w:rsid w:val="00A9581B"/>
    <w:rsid w:val="00A973AC"/>
    <w:rsid w:val="00A97C1E"/>
    <w:rsid w:val="00A97FDC"/>
    <w:rsid w:val="00AB20DF"/>
    <w:rsid w:val="00AC11F0"/>
    <w:rsid w:val="00AC219B"/>
    <w:rsid w:val="00AC551B"/>
    <w:rsid w:val="00AD0649"/>
    <w:rsid w:val="00AD30CB"/>
    <w:rsid w:val="00AE444F"/>
    <w:rsid w:val="00AE5CB8"/>
    <w:rsid w:val="00AE731C"/>
    <w:rsid w:val="00B02787"/>
    <w:rsid w:val="00B15441"/>
    <w:rsid w:val="00B51EA7"/>
    <w:rsid w:val="00B8387D"/>
    <w:rsid w:val="00B93371"/>
    <w:rsid w:val="00BA161B"/>
    <w:rsid w:val="00BB0213"/>
    <w:rsid w:val="00BB6EC7"/>
    <w:rsid w:val="00BC26A4"/>
    <w:rsid w:val="00BC79DD"/>
    <w:rsid w:val="00BD76ED"/>
    <w:rsid w:val="00BE75AE"/>
    <w:rsid w:val="00C04020"/>
    <w:rsid w:val="00C10371"/>
    <w:rsid w:val="00C11358"/>
    <w:rsid w:val="00C159FC"/>
    <w:rsid w:val="00C162C6"/>
    <w:rsid w:val="00C3108A"/>
    <w:rsid w:val="00C42A40"/>
    <w:rsid w:val="00C42B3F"/>
    <w:rsid w:val="00C62474"/>
    <w:rsid w:val="00C7097C"/>
    <w:rsid w:val="00C7545F"/>
    <w:rsid w:val="00C84C66"/>
    <w:rsid w:val="00C879CB"/>
    <w:rsid w:val="00C87B81"/>
    <w:rsid w:val="00C91E98"/>
    <w:rsid w:val="00CB1ADE"/>
    <w:rsid w:val="00CB74A4"/>
    <w:rsid w:val="00CB781D"/>
    <w:rsid w:val="00CE2D69"/>
    <w:rsid w:val="00CF039A"/>
    <w:rsid w:val="00CF5E21"/>
    <w:rsid w:val="00D01AEC"/>
    <w:rsid w:val="00D046CF"/>
    <w:rsid w:val="00D2167C"/>
    <w:rsid w:val="00D21BC7"/>
    <w:rsid w:val="00D36A5B"/>
    <w:rsid w:val="00D379D5"/>
    <w:rsid w:val="00D5456E"/>
    <w:rsid w:val="00D55556"/>
    <w:rsid w:val="00D576A6"/>
    <w:rsid w:val="00D62BEA"/>
    <w:rsid w:val="00D62C1E"/>
    <w:rsid w:val="00D7321D"/>
    <w:rsid w:val="00D75FE5"/>
    <w:rsid w:val="00D76FCB"/>
    <w:rsid w:val="00D7730F"/>
    <w:rsid w:val="00D83E73"/>
    <w:rsid w:val="00D8467E"/>
    <w:rsid w:val="00D93ACB"/>
    <w:rsid w:val="00D969D3"/>
    <w:rsid w:val="00D97A7B"/>
    <w:rsid w:val="00DA286B"/>
    <w:rsid w:val="00DB1F96"/>
    <w:rsid w:val="00DB7131"/>
    <w:rsid w:val="00DC3880"/>
    <w:rsid w:val="00DE5BB1"/>
    <w:rsid w:val="00E14A7B"/>
    <w:rsid w:val="00E16E6C"/>
    <w:rsid w:val="00E216D6"/>
    <w:rsid w:val="00E22CDB"/>
    <w:rsid w:val="00E24523"/>
    <w:rsid w:val="00E35483"/>
    <w:rsid w:val="00E3729C"/>
    <w:rsid w:val="00E375D9"/>
    <w:rsid w:val="00E406CF"/>
    <w:rsid w:val="00E442C5"/>
    <w:rsid w:val="00E4557D"/>
    <w:rsid w:val="00E52110"/>
    <w:rsid w:val="00E55491"/>
    <w:rsid w:val="00E6115F"/>
    <w:rsid w:val="00E66E69"/>
    <w:rsid w:val="00E75A26"/>
    <w:rsid w:val="00E75B38"/>
    <w:rsid w:val="00EA13FD"/>
    <w:rsid w:val="00EA2BB6"/>
    <w:rsid w:val="00EA4F90"/>
    <w:rsid w:val="00EA6DFF"/>
    <w:rsid w:val="00EC01BC"/>
    <w:rsid w:val="00EC2053"/>
    <w:rsid w:val="00EC210B"/>
    <w:rsid w:val="00EC3924"/>
    <w:rsid w:val="00EC4EE8"/>
    <w:rsid w:val="00ED7B56"/>
    <w:rsid w:val="00EE4212"/>
    <w:rsid w:val="00EE644B"/>
    <w:rsid w:val="00EF7BE8"/>
    <w:rsid w:val="00F11BA7"/>
    <w:rsid w:val="00F16DB7"/>
    <w:rsid w:val="00F545A1"/>
    <w:rsid w:val="00F54A11"/>
    <w:rsid w:val="00F7226B"/>
    <w:rsid w:val="00F73ED3"/>
    <w:rsid w:val="00F75432"/>
    <w:rsid w:val="00F80D15"/>
    <w:rsid w:val="00F90234"/>
    <w:rsid w:val="00FB00E3"/>
    <w:rsid w:val="00FC3158"/>
    <w:rsid w:val="00FD7F91"/>
    <w:rsid w:val="00FE29B4"/>
    <w:rsid w:val="00FF2183"/>
    <w:rsid w:val="00FF3F30"/>
    <w:rsid w:val="00FF4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0C9AF-6C53-447B-ACA9-958A8570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36D"/>
  </w:style>
  <w:style w:type="paragraph" w:styleId="Footer">
    <w:name w:val="footer"/>
    <w:basedOn w:val="Normal"/>
    <w:link w:val="FooterChar"/>
    <w:uiPriority w:val="99"/>
    <w:unhideWhenUsed/>
    <w:rsid w:val="0098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636D"/>
  </w:style>
  <w:style w:type="paragraph" w:customStyle="1" w:styleId="MainTitle">
    <w:name w:val="Main Title"/>
    <w:basedOn w:val="Normal"/>
    <w:link w:val="MainTitleChar"/>
    <w:qFormat/>
    <w:rsid w:val="001A0684"/>
    <w:pPr>
      <w:spacing w:after="120" w:line="228" w:lineRule="auto"/>
    </w:pPr>
    <w:rPr>
      <w:b/>
      <w:color w:val="6F61B0"/>
      <w:sz w:val="48"/>
      <w:szCs w:val="48"/>
    </w:rPr>
  </w:style>
  <w:style w:type="paragraph" w:styleId="BodyText">
    <w:name w:val="Body Text"/>
    <w:basedOn w:val="BodyText2"/>
    <w:link w:val="BodyTextChar"/>
    <w:qFormat/>
    <w:rsid w:val="0024208C"/>
    <w:pPr>
      <w:spacing w:after="160" w:line="259" w:lineRule="auto"/>
      <w:jc w:val="both"/>
    </w:pPr>
    <w:rPr>
      <w:rFonts w:ascii="Calibri" w:eastAsia="Times New Roman" w:hAnsi="Calibri" w:cs="Arial"/>
      <w:color w:val="595959"/>
      <w:szCs w:val="20"/>
    </w:rPr>
  </w:style>
  <w:style w:type="character" w:customStyle="1" w:styleId="MainTitleChar">
    <w:name w:val="Main Title Char"/>
    <w:basedOn w:val="DefaultParagraphFont"/>
    <w:link w:val="MainTitle"/>
    <w:rsid w:val="001A0684"/>
    <w:rPr>
      <w:b/>
      <w:color w:val="6F61B0"/>
      <w:sz w:val="48"/>
      <w:szCs w:val="48"/>
    </w:rPr>
  </w:style>
  <w:style w:type="character" w:customStyle="1" w:styleId="BodyTextChar">
    <w:name w:val="Body Text Char"/>
    <w:basedOn w:val="DefaultParagraphFont"/>
    <w:link w:val="BodyText"/>
    <w:rsid w:val="0024208C"/>
    <w:rPr>
      <w:rFonts w:ascii="Calibri" w:eastAsia="Times New Roman" w:hAnsi="Calibri" w:cs="Arial"/>
      <w:color w:val="595959"/>
      <w:szCs w:val="20"/>
    </w:rPr>
  </w:style>
  <w:style w:type="paragraph" w:styleId="BodyText2">
    <w:name w:val="Body Text 2"/>
    <w:basedOn w:val="Normal"/>
    <w:link w:val="BodyText2Char"/>
    <w:uiPriority w:val="99"/>
    <w:semiHidden/>
    <w:unhideWhenUsed/>
    <w:rsid w:val="008A7E71"/>
    <w:pPr>
      <w:spacing w:after="120" w:line="480" w:lineRule="auto"/>
    </w:pPr>
  </w:style>
  <w:style w:type="character" w:customStyle="1" w:styleId="BodyText2Char">
    <w:name w:val="Body Text 2 Char"/>
    <w:basedOn w:val="DefaultParagraphFont"/>
    <w:link w:val="BodyText2"/>
    <w:uiPriority w:val="99"/>
    <w:semiHidden/>
    <w:rsid w:val="008A7E71"/>
  </w:style>
  <w:style w:type="paragraph" w:customStyle="1" w:styleId="SubHeader">
    <w:name w:val="Sub Header"/>
    <w:basedOn w:val="BodyText"/>
    <w:link w:val="SubHeaderChar"/>
    <w:qFormat/>
    <w:rsid w:val="00441851"/>
    <w:pPr>
      <w:spacing w:after="0" w:line="216" w:lineRule="auto"/>
      <w:jc w:val="left"/>
    </w:pPr>
    <w:rPr>
      <w:b/>
      <w:color w:val="404040" w:themeColor="text1" w:themeTint="BF"/>
      <w:sz w:val="28"/>
      <w:szCs w:val="28"/>
    </w:rPr>
  </w:style>
  <w:style w:type="paragraph" w:styleId="Title">
    <w:name w:val="Title"/>
    <w:basedOn w:val="Normal"/>
    <w:next w:val="Normal"/>
    <w:link w:val="TitleChar"/>
    <w:uiPriority w:val="10"/>
    <w:rsid w:val="0024208C"/>
    <w:pPr>
      <w:spacing w:after="60" w:line="192" w:lineRule="auto"/>
    </w:pPr>
    <w:rPr>
      <w:rFonts w:ascii="Calibri" w:eastAsia="Calibri" w:hAnsi="Calibri" w:cs="Times New Roman"/>
      <w:b/>
      <w:caps/>
      <w:color w:val="39945E"/>
      <w:sz w:val="40"/>
      <w:szCs w:val="40"/>
    </w:rPr>
  </w:style>
  <w:style w:type="character" w:customStyle="1" w:styleId="SubHeaderChar">
    <w:name w:val="Sub Header Char"/>
    <w:basedOn w:val="BodyTextChar"/>
    <w:link w:val="SubHeader"/>
    <w:rsid w:val="00441851"/>
    <w:rPr>
      <w:rFonts w:ascii="Calibri" w:eastAsia="Times New Roman" w:hAnsi="Calibri" w:cs="Arial"/>
      <w:b/>
      <w:color w:val="404040" w:themeColor="text1" w:themeTint="BF"/>
      <w:sz w:val="28"/>
      <w:szCs w:val="28"/>
    </w:rPr>
  </w:style>
  <w:style w:type="character" w:customStyle="1" w:styleId="TitleChar">
    <w:name w:val="Title Char"/>
    <w:basedOn w:val="DefaultParagraphFont"/>
    <w:link w:val="Title"/>
    <w:uiPriority w:val="10"/>
    <w:rsid w:val="0024208C"/>
    <w:rPr>
      <w:rFonts w:ascii="Calibri" w:eastAsia="Calibri" w:hAnsi="Calibri" w:cs="Times New Roman"/>
      <w:b/>
      <w:caps/>
      <w:color w:val="39945E"/>
      <w:sz w:val="40"/>
      <w:szCs w:val="40"/>
    </w:rPr>
  </w:style>
  <w:style w:type="paragraph" w:customStyle="1" w:styleId="Disclaimer">
    <w:name w:val="Disclaimer"/>
    <w:basedOn w:val="Normal"/>
    <w:link w:val="DisclaimerChar"/>
    <w:qFormat/>
    <w:rsid w:val="008F7B15"/>
    <w:rPr>
      <w:rFonts w:ascii="Verdana" w:eastAsia="Calibri" w:hAnsi="Verdana" w:cs="Times New Roman"/>
      <w:color w:val="7F7F7F"/>
      <w:sz w:val="16"/>
    </w:rPr>
  </w:style>
  <w:style w:type="character" w:customStyle="1" w:styleId="DisclaimerChar">
    <w:name w:val="Disclaimer Char"/>
    <w:link w:val="Disclaimer"/>
    <w:rsid w:val="008F7B15"/>
    <w:rPr>
      <w:rFonts w:ascii="Verdana" w:eastAsia="Calibri" w:hAnsi="Verdana" w:cs="Times New Roman"/>
      <w:color w:val="7F7F7F"/>
      <w:sz w:val="16"/>
    </w:rPr>
  </w:style>
  <w:style w:type="paragraph" w:customStyle="1" w:styleId="BulletList">
    <w:name w:val="Bullet List"/>
    <w:basedOn w:val="BodyText"/>
    <w:link w:val="BulletListChar"/>
    <w:rsid w:val="001725D9"/>
    <w:pPr>
      <w:numPr>
        <w:numId w:val="1"/>
      </w:numPr>
      <w:spacing w:after="20"/>
    </w:pPr>
  </w:style>
  <w:style w:type="paragraph" w:customStyle="1" w:styleId="Checkbox">
    <w:name w:val="Checkbox"/>
    <w:basedOn w:val="BulletList"/>
    <w:link w:val="CheckboxChar"/>
    <w:qFormat/>
    <w:rsid w:val="00A619D3"/>
    <w:pPr>
      <w:numPr>
        <w:numId w:val="3"/>
      </w:numPr>
      <w:tabs>
        <w:tab w:val="left" w:pos="540"/>
      </w:tabs>
      <w:spacing w:after="160"/>
      <w:ind w:left="806" w:hanging="446"/>
      <w:contextualSpacing/>
    </w:pPr>
  </w:style>
  <w:style w:type="character" w:customStyle="1" w:styleId="BulletListChar">
    <w:name w:val="Bullet List Char"/>
    <w:basedOn w:val="BodyTextChar"/>
    <w:link w:val="BulletList"/>
    <w:rsid w:val="001725D9"/>
    <w:rPr>
      <w:rFonts w:ascii="Calibri" w:eastAsia="Times New Roman" w:hAnsi="Calibri" w:cs="Arial"/>
      <w:color w:val="595959"/>
      <w:szCs w:val="20"/>
    </w:rPr>
  </w:style>
  <w:style w:type="paragraph" w:customStyle="1" w:styleId="Xbox">
    <w:name w:val="Xbox"/>
    <w:basedOn w:val="Checkbox"/>
    <w:link w:val="XboxChar"/>
    <w:qFormat/>
    <w:rsid w:val="00A619D3"/>
    <w:pPr>
      <w:numPr>
        <w:numId w:val="4"/>
      </w:numPr>
      <w:ind w:left="806" w:hanging="446"/>
    </w:pPr>
  </w:style>
  <w:style w:type="character" w:customStyle="1" w:styleId="CheckboxChar">
    <w:name w:val="Checkbox Char"/>
    <w:basedOn w:val="BulletListChar"/>
    <w:link w:val="Checkbox"/>
    <w:rsid w:val="00A619D3"/>
    <w:rPr>
      <w:rFonts w:ascii="Calibri" w:eastAsia="Times New Roman" w:hAnsi="Calibri" w:cs="Arial"/>
      <w:color w:val="595959"/>
      <w:szCs w:val="20"/>
    </w:rPr>
  </w:style>
  <w:style w:type="paragraph" w:customStyle="1" w:styleId="CallOutBox">
    <w:name w:val="Call Out Box"/>
    <w:basedOn w:val="Footer"/>
    <w:link w:val="CallOutBoxChar"/>
    <w:qFormat/>
    <w:rsid w:val="00A32721"/>
    <w:pPr>
      <w:jc w:val="center"/>
    </w:pPr>
    <w:rPr>
      <w:b/>
      <w:i/>
      <w:color w:val="6F61B0"/>
      <w:sz w:val="36"/>
      <w:szCs w:val="36"/>
    </w:rPr>
  </w:style>
  <w:style w:type="character" w:customStyle="1" w:styleId="XboxChar">
    <w:name w:val="Xbox Char"/>
    <w:basedOn w:val="CheckboxChar"/>
    <w:link w:val="Xbox"/>
    <w:rsid w:val="00A619D3"/>
    <w:rPr>
      <w:rFonts w:ascii="Calibri" w:eastAsia="Times New Roman" w:hAnsi="Calibri" w:cs="Arial"/>
      <w:color w:val="595959"/>
      <w:szCs w:val="20"/>
    </w:rPr>
  </w:style>
  <w:style w:type="table" w:styleId="TableGrid">
    <w:name w:val="Table Grid"/>
    <w:basedOn w:val="TableNormal"/>
    <w:uiPriority w:val="39"/>
    <w:rsid w:val="00C84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llOutBoxChar">
    <w:name w:val="Call Out Box Char"/>
    <w:basedOn w:val="FooterChar"/>
    <w:link w:val="CallOutBox"/>
    <w:rsid w:val="00A32721"/>
    <w:rPr>
      <w:b/>
      <w:i/>
      <w:color w:val="6F61B0"/>
      <w:sz w:val="36"/>
      <w:szCs w:val="36"/>
    </w:rPr>
  </w:style>
  <w:style w:type="paragraph" w:customStyle="1" w:styleId="TableHeader">
    <w:name w:val="Table Header"/>
    <w:basedOn w:val="BodyText"/>
    <w:link w:val="TableHeaderChar"/>
    <w:qFormat/>
    <w:rsid w:val="00C84C66"/>
    <w:pPr>
      <w:jc w:val="center"/>
    </w:pPr>
    <w:rPr>
      <w:b/>
      <w:color w:val="FFFFFF" w:themeColor="background1"/>
      <w:sz w:val="26"/>
      <w:szCs w:val="26"/>
    </w:rPr>
  </w:style>
  <w:style w:type="character" w:customStyle="1" w:styleId="TableHeaderChar">
    <w:name w:val="Table Header Char"/>
    <w:basedOn w:val="BodyTextChar"/>
    <w:link w:val="TableHeader"/>
    <w:rsid w:val="00C84C66"/>
    <w:rPr>
      <w:rFonts w:ascii="Calibri" w:eastAsia="Times New Roman" w:hAnsi="Calibri" w:cs="Arial"/>
      <w:b/>
      <w:color w:val="FFFFFF" w:themeColor="background1"/>
      <w:sz w:val="26"/>
      <w:szCs w:val="26"/>
    </w:rPr>
  </w:style>
  <w:style w:type="numbering" w:customStyle="1" w:styleId="BulletedList">
    <w:name w:val="Bulleted List"/>
    <w:uiPriority w:val="99"/>
    <w:rsid w:val="00E52110"/>
    <w:pPr>
      <w:numPr>
        <w:numId w:val="8"/>
      </w:numPr>
    </w:pPr>
  </w:style>
  <w:style w:type="paragraph" w:customStyle="1" w:styleId="BulletListText">
    <w:name w:val="Bullet List Text"/>
    <w:basedOn w:val="BodyText"/>
    <w:link w:val="BulletListTextChar"/>
    <w:qFormat/>
    <w:rsid w:val="00A619D3"/>
    <w:pPr>
      <w:numPr>
        <w:numId w:val="15"/>
      </w:numPr>
      <w:spacing w:line="240" w:lineRule="auto"/>
      <w:ind w:right="274"/>
      <w:contextualSpacing/>
    </w:pPr>
  </w:style>
  <w:style w:type="character" w:customStyle="1" w:styleId="BulletListTextChar">
    <w:name w:val="Bullet List Text Char"/>
    <w:basedOn w:val="BodyTextChar"/>
    <w:link w:val="BulletListText"/>
    <w:rsid w:val="00A619D3"/>
    <w:rPr>
      <w:rFonts w:ascii="Calibri" w:eastAsia="Times New Roman" w:hAnsi="Calibri" w:cs="Arial"/>
      <w:color w:val="595959"/>
      <w:szCs w:val="20"/>
    </w:rPr>
  </w:style>
  <w:style w:type="character" w:styleId="CommentReference">
    <w:name w:val="annotation reference"/>
    <w:basedOn w:val="DefaultParagraphFont"/>
    <w:uiPriority w:val="99"/>
    <w:semiHidden/>
    <w:unhideWhenUsed/>
    <w:rsid w:val="00C91E98"/>
    <w:rPr>
      <w:sz w:val="16"/>
      <w:szCs w:val="16"/>
    </w:rPr>
  </w:style>
  <w:style w:type="paragraph" w:styleId="CommentText">
    <w:name w:val="annotation text"/>
    <w:basedOn w:val="Normal"/>
    <w:link w:val="CommentTextChar"/>
    <w:uiPriority w:val="99"/>
    <w:semiHidden/>
    <w:unhideWhenUsed/>
    <w:rsid w:val="00C91E98"/>
    <w:pPr>
      <w:spacing w:line="240" w:lineRule="auto"/>
    </w:pPr>
    <w:rPr>
      <w:sz w:val="20"/>
      <w:szCs w:val="20"/>
    </w:rPr>
  </w:style>
  <w:style w:type="character" w:customStyle="1" w:styleId="CommentTextChar">
    <w:name w:val="Comment Text Char"/>
    <w:basedOn w:val="DefaultParagraphFont"/>
    <w:link w:val="CommentText"/>
    <w:uiPriority w:val="99"/>
    <w:semiHidden/>
    <w:rsid w:val="00C91E98"/>
    <w:rPr>
      <w:sz w:val="20"/>
      <w:szCs w:val="20"/>
    </w:rPr>
  </w:style>
  <w:style w:type="paragraph" w:styleId="CommentSubject">
    <w:name w:val="annotation subject"/>
    <w:basedOn w:val="CommentText"/>
    <w:next w:val="CommentText"/>
    <w:link w:val="CommentSubjectChar"/>
    <w:uiPriority w:val="99"/>
    <w:semiHidden/>
    <w:unhideWhenUsed/>
    <w:rsid w:val="00C91E98"/>
    <w:rPr>
      <w:b/>
      <w:bCs/>
    </w:rPr>
  </w:style>
  <w:style w:type="character" w:customStyle="1" w:styleId="CommentSubjectChar">
    <w:name w:val="Comment Subject Char"/>
    <w:basedOn w:val="CommentTextChar"/>
    <w:link w:val="CommentSubject"/>
    <w:uiPriority w:val="99"/>
    <w:semiHidden/>
    <w:rsid w:val="00C91E98"/>
    <w:rPr>
      <w:b/>
      <w:bCs/>
      <w:sz w:val="20"/>
      <w:szCs w:val="20"/>
    </w:rPr>
  </w:style>
  <w:style w:type="paragraph" w:styleId="BalloonText">
    <w:name w:val="Balloon Text"/>
    <w:basedOn w:val="Normal"/>
    <w:link w:val="BalloonTextChar"/>
    <w:uiPriority w:val="99"/>
    <w:semiHidden/>
    <w:unhideWhenUsed/>
    <w:rsid w:val="00C91E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1E98"/>
    <w:rPr>
      <w:rFonts w:ascii="Segoe UI" w:hAnsi="Segoe UI" w:cs="Segoe UI"/>
      <w:sz w:val="18"/>
      <w:szCs w:val="18"/>
    </w:rPr>
  </w:style>
  <w:style w:type="paragraph" w:styleId="Revision">
    <w:name w:val="Revision"/>
    <w:hidden/>
    <w:uiPriority w:val="99"/>
    <w:semiHidden/>
    <w:rsid w:val="00C159FC"/>
    <w:pPr>
      <w:spacing w:after="0" w:line="240" w:lineRule="auto"/>
    </w:pPr>
  </w:style>
  <w:style w:type="character" w:styleId="Hyperlink">
    <w:name w:val="Hyperlink"/>
    <w:basedOn w:val="DefaultParagraphFont"/>
    <w:uiPriority w:val="99"/>
    <w:unhideWhenUsed/>
    <w:rsid w:val="00D21BC7"/>
    <w:rPr>
      <w:color w:val="0563C1" w:themeColor="hyperlink"/>
      <w:u w:val="single"/>
    </w:rPr>
  </w:style>
  <w:style w:type="character" w:customStyle="1" w:styleId="UnresolvedMention1">
    <w:name w:val="Unresolved Mention1"/>
    <w:basedOn w:val="DefaultParagraphFont"/>
    <w:uiPriority w:val="99"/>
    <w:semiHidden/>
    <w:unhideWhenUsed/>
    <w:rsid w:val="00D21BC7"/>
    <w:rPr>
      <w:color w:val="605E5C"/>
      <w:shd w:val="clear" w:color="auto" w:fill="E1DFDD"/>
    </w:rPr>
  </w:style>
  <w:style w:type="character" w:styleId="FollowedHyperlink">
    <w:name w:val="FollowedHyperlink"/>
    <w:basedOn w:val="DefaultParagraphFont"/>
    <w:uiPriority w:val="99"/>
    <w:semiHidden/>
    <w:unhideWhenUsed/>
    <w:rsid w:val="00D21BC7"/>
    <w:rPr>
      <w:color w:val="954F72" w:themeColor="followedHyperlink"/>
      <w:u w:val="single"/>
    </w:rPr>
  </w:style>
  <w:style w:type="character" w:customStyle="1" w:styleId="UnresolvedMention2">
    <w:name w:val="Unresolved Mention2"/>
    <w:basedOn w:val="DefaultParagraphFont"/>
    <w:uiPriority w:val="99"/>
    <w:rsid w:val="005F7243"/>
    <w:rPr>
      <w:color w:val="605E5C"/>
      <w:shd w:val="clear" w:color="auto" w:fill="E1DFDD"/>
    </w:rPr>
  </w:style>
  <w:style w:type="paragraph" w:styleId="NormalWeb">
    <w:name w:val="Normal (Web)"/>
    <w:basedOn w:val="Normal"/>
    <w:uiPriority w:val="99"/>
    <w:semiHidden/>
    <w:unhideWhenUsed/>
    <w:rsid w:val="0036666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l.gov/agencies/whd/pandemic/ffcra-questions" TargetMode="External"/><Relationship Id="rId18" Type="http://schemas.openxmlformats.org/officeDocument/2006/relationships/hyperlink" Target="https://www.dol.gov/agencies/whd/pandemic/ffcra-questions" TargetMode="External"/><Relationship Id="rId26" Type="http://schemas.openxmlformats.org/officeDocument/2006/relationships/hyperlink" Target="https://www.dol.gov/agencies/whd/field-assistance-bulletins/2020-1" TargetMode="External"/><Relationship Id="rId3" Type="http://schemas.openxmlformats.org/officeDocument/2006/relationships/styles" Target="styles.xml"/><Relationship Id="rId21" Type="http://schemas.openxmlformats.org/officeDocument/2006/relationships/hyperlink" Target="https://www.dol.gov/agencies/whd/pandemic/ffcra-questions" TargetMode="External"/><Relationship Id="rId7" Type="http://schemas.openxmlformats.org/officeDocument/2006/relationships/endnotes" Target="endnotes.xml"/><Relationship Id="rId12" Type="http://schemas.openxmlformats.org/officeDocument/2006/relationships/hyperlink" Target="https://www.dol.gov/agencies/whd/pandemic" TargetMode="External"/><Relationship Id="rId17" Type="http://schemas.openxmlformats.org/officeDocument/2006/relationships/footer" Target="footer1.xml"/><Relationship Id="rId25" Type="http://schemas.openxmlformats.org/officeDocument/2006/relationships/hyperlink" Target="https://www.dol.gov/sites/dolgov/files/WHD/posters/FFCRA_Poster_WH1422_Non-Federal.pdf"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www.dol.gov/agencies/whd/pandemic/ffcra-ques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ress.gov/116/bills/hr6201/BILLS-116hr6201enr.pdf" TargetMode="External"/><Relationship Id="rId24" Type="http://schemas.openxmlformats.org/officeDocument/2006/relationships/hyperlink" Target="https://www.dol.gov/agencies/whd/pandemic/ffcra-questions" TargetMode="External"/><Relationship Id="rId5" Type="http://schemas.openxmlformats.org/officeDocument/2006/relationships/webSettings" Target="webSettings.xml"/><Relationship Id="rId15" Type="http://schemas.openxmlformats.org/officeDocument/2006/relationships/hyperlink" Target="https://www.dol.gov/agencies/whd/pandemic/ffcra-employer-paid-leave" TargetMode="External"/><Relationship Id="rId23" Type="http://schemas.openxmlformats.org/officeDocument/2006/relationships/hyperlink" Target="https://www.dol.gov/agencies/whd/pandemic/ffcra-questions" TargetMode="External"/><Relationship Id="rId28" Type="http://schemas.openxmlformats.org/officeDocument/2006/relationships/footer" Target="footer2.xml"/><Relationship Id="rId10" Type="http://schemas.openxmlformats.org/officeDocument/2006/relationships/image" Target="media/image20.png"/><Relationship Id="rId19" Type="http://schemas.openxmlformats.org/officeDocument/2006/relationships/hyperlink" Target="https://www.dol.gov/agencies/whd/pandemic/ffcra-question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l.gov/sites/dolgov/files/WHD/posters/FFCRA_Poster_WH1422_Non-Federal.pdf" TargetMode="External"/><Relationship Id="rId22" Type="http://schemas.openxmlformats.org/officeDocument/2006/relationships/hyperlink" Target="https://www.dol.gov/agencies/whd/pandemic/ffcra-questions" TargetMode="External"/><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ntent%20Development\MASTER%20TEMPLATES\Legal%20Content\2020%20Compliance%20Docs%20Redesign\Compliance%20Bulletin\Portrait\HR_Compliance%20Bulleti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6A540-35A5-4432-9A66-F965E5D6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HR_Compliance Bulletin</Template>
  <TotalTime>0</TotalTime>
  <Pages>7</Pages>
  <Words>2690</Words>
  <Characters>15337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Kelliher, Miriam</dc:creator>
  <cp:lastModifiedBy>Judy Kamens</cp:lastModifiedBy>
  <cp:revision>2</cp:revision>
  <dcterms:created xsi:type="dcterms:W3CDTF">2020-03-31T14:42:00Z</dcterms:created>
  <dcterms:modified xsi:type="dcterms:W3CDTF">2020-03-31T14:42:00Z</dcterms:modified>
</cp:coreProperties>
</file>