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00D" w:rsidRPr="000D5114" w:rsidRDefault="00CD271A" w:rsidP="008A7E71">
      <w:pPr>
        <w:pStyle w:val="MainTitle"/>
        <w:rPr>
          <w:color w:val="0B406B"/>
        </w:rPr>
      </w:pPr>
      <w:r w:rsidRPr="000D5114">
        <w:rPr>
          <w:noProof/>
          <w:color w:val="0B406B"/>
        </w:rPr>
        <mc:AlternateContent>
          <mc:Choice Requires="wpg">
            <w:drawing>
              <wp:anchor distT="0" distB="0" distL="114300" distR="114300" simplePos="0" relativeHeight="251665408" behindDoc="1" locked="0" layoutInCell="1" allowOverlap="1">
                <wp:simplePos x="0" y="0"/>
                <wp:positionH relativeFrom="column">
                  <wp:posOffset>4564380</wp:posOffset>
                </wp:positionH>
                <wp:positionV relativeFrom="paragraph">
                  <wp:posOffset>-635</wp:posOffset>
                </wp:positionV>
                <wp:extent cx="2413635" cy="2968625"/>
                <wp:effectExtent l="0" t="0" r="0" b="3175"/>
                <wp:wrapNone/>
                <wp:docPr id="7" name="Group 7"/>
                <wp:cNvGraphicFramePr/>
                <a:graphic xmlns:a="http://schemas.openxmlformats.org/drawingml/2006/main">
                  <a:graphicData uri="http://schemas.microsoft.com/office/word/2010/wordprocessingGroup">
                    <wpg:wgp>
                      <wpg:cNvGrpSpPr/>
                      <wpg:grpSpPr>
                        <a:xfrm>
                          <a:off x="0" y="0"/>
                          <a:ext cx="2413635" cy="2968625"/>
                          <a:chOff x="5021580" y="0"/>
                          <a:chExt cx="2413693" cy="2968798"/>
                        </a:xfrm>
                      </wpg:grpSpPr>
                      <wps:wsp>
                        <wps:cNvPr id="6" name="Text Box 2"/>
                        <wps:cNvSpPr txBox="1">
                          <a:spLocks noChangeArrowheads="1"/>
                        </wps:cNvSpPr>
                        <wps:spPr bwMode="auto">
                          <a:xfrm>
                            <a:off x="5021580" y="0"/>
                            <a:ext cx="2413000" cy="329565"/>
                          </a:xfrm>
                          <a:prstGeom prst="rect">
                            <a:avLst/>
                          </a:prstGeom>
                          <a:noFill/>
                          <a:ln w="9525">
                            <a:noFill/>
                            <a:miter lim="800000"/>
                            <a:headEnd/>
                            <a:tailEnd/>
                          </a:ln>
                        </wps:spPr>
                        <wps:txbx>
                          <w:txbxContent>
                            <w:p w:rsidR="00A95ADA" w:rsidRPr="000D5114" w:rsidRDefault="00713439" w:rsidP="008D2A95">
                              <w:pPr>
                                <w:pStyle w:val="HighlightsHeading"/>
                                <w:rPr>
                                  <w:color w:val="0B406B"/>
                                </w:rPr>
                              </w:pPr>
                              <w:r w:rsidRPr="000D5114">
                                <w:rPr>
                                  <w:color w:val="0B406B"/>
                                </w:rPr>
                                <w:t>Plan Design Issues</w:t>
                              </w:r>
                            </w:p>
                          </w:txbxContent>
                        </wps:txbx>
                        <wps:bodyPr rot="0" vert="horz" wrap="square" anchor="t" anchorCtr="0"/>
                      </wps:wsp>
                      <wps:wsp>
                        <wps:cNvPr id="217" name="Text Box 2"/>
                        <wps:cNvSpPr txBox="1">
                          <a:spLocks noChangeArrowheads="1"/>
                        </wps:cNvSpPr>
                        <wps:spPr bwMode="auto">
                          <a:xfrm>
                            <a:off x="5022273" y="360218"/>
                            <a:ext cx="2413000" cy="2608580"/>
                          </a:xfrm>
                          <a:prstGeom prst="rect">
                            <a:avLst/>
                          </a:prstGeom>
                          <a:noFill/>
                          <a:ln w="9525">
                            <a:noFill/>
                            <a:miter lim="800000"/>
                            <a:headEnd/>
                            <a:tailEnd/>
                          </a:ln>
                        </wps:spPr>
                        <wps:txbx>
                          <w:txbxContent>
                            <w:p w:rsidR="00B56C1A" w:rsidRDefault="00713439" w:rsidP="00B56C1A">
                              <w:pPr>
                                <w:pStyle w:val="BulletList"/>
                                <w:numPr>
                                  <w:ilvl w:val="0"/>
                                  <w:numId w:val="7"/>
                                </w:numPr>
                                <w:jc w:val="left"/>
                              </w:pPr>
                              <w:r>
                                <w:t>Confirm that your plan’s out-of-pocket maximum complies with the ACA’s limits for 2022.</w:t>
                              </w:r>
                            </w:p>
                            <w:p w:rsidR="00B56C1A" w:rsidRDefault="00713439" w:rsidP="00B56C1A">
                              <w:pPr>
                                <w:pStyle w:val="BulletList"/>
                                <w:numPr>
                                  <w:ilvl w:val="0"/>
                                  <w:numId w:val="7"/>
                                </w:numPr>
                                <w:jc w:val="left"/>
                              </w:pPr>
                              <w:r>
                                <w:t>For HDHPs, confirm that the plan’s deductible and out-of-pocket maximum comply with the 2022 limits.</w:t>
                              </w:r>
                            </w:p>
                            <w:p w:rsidR="0024208C" w:rsidRPr="00526C74" w:rsidRDefault="00713439" w:rsidP="00B56C1A">
                              <w:pPr>
                                <w:pStyle w:val="BulletList"/>
                                <w:numPr>
                                  <w:ilvl w:val="0"/>
                                  <w:numId w:val="7"/>
                                </w:numPr>
                                <w:jc w:val="left"/>
                              </w:pPr>
                              <w:r>
                                <w:t>Communicate any plan design changes to employees as part of the open enrollment process.</w:t>
                              </w:r>
                            </w:p>
                          </w:txbxContent>
                        </wps:txbx>
                        <wps:bodyPr rot="0" vert="horz" wrap="square" anchor="t" anchorCtr="0"/>
                      </wps:wsp>
                    </wpg:wgp>
                  </a:graphicData>
                </a:graphic>
                <wp14:sizeRelH relativeFrom="margin">
                  <wp14:pctWidth>0</wp14:pctWidth>
                </wp14:sizeRelH>
              </wp:anchor>
            </w:drawing>
          </mc:Choice>
          <mc:Fallback>
            <w:pict>
              <v:group id="Group 7" o:spid="_x0000_s1026" style="position:absolute;margin-left:359.4pt;margin-top:-.05pt;width:190.05pt;height:233.75pt;z-index:-251651072;mso-width-relative:margin" coordorigin="50215" coordsize="24136,29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">
                <v:shapetype id="_x0000_t202" coordsize="21600,21600" o:spt="202" path="m,l,21600r21600,l21600,xe">
                  <v:stroke joinstyle="miter"/>
                  <v:path gradientshapeok="t" o:connecttype="rect"/>
                </v:shapetype>
                <v:shape id="Text Box 2" o:spid="_x0000_s1027" type="#_x0000_t202" style="position:absolute;left:50215;width:24130;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95ADA" w:rsidRPr="000D5114" w:rsidRDefault="00713439" w:rsidP="008D2A95">
                        <w:pPr>
                          <w:pStyle w:val="HighlightsHeading"/>
                          <w:rPr>
                            <w:color w:val="0B406B"/>
                          </w:rPr>
                        </w:pPr>
                        <w:r w:rsidRPr="000D5114">
                          <w:rPr>
                            <w:color w:val="0B406B"/>
                          </w:rPr>
                          <w:t>Plan Design Issues</w:t>
                        </w:r>
                      </w:p>
                    </w:txbxContent>
                  </v:textbox>
                </v:shape>
                <v:shape id="Text Box 2" o:spid="_x0000_s1028" type="#_x0000_t202" style="position:absolute;left:50222;top:3602;width:24130;height:26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B56C1A" w:rsidRDefault="00713439" w:rsidP="00B56C1A">
                        <w:pPr>
                          <w:pStyle w:val="BulletList"/>
                          <w:numPr>
                            <w:ilvl w:val="0"/>
                            <w:numId w:val="7"/>
                          </w:numPr>
                          <w:jc w:val="left"/>
                        </w:pPr>
                        <w:r>
                          <w:t>Confirm that your plan’s out-of-pocket maximum complies with the ACA’s limits for 2022.</w:t>
                        </w:r>
                      </w:p>
                      <w:p w:rsidR="00B56C1A" w:rsidRDefault="00713439" w:rsidP="00B56C1A">
                        <w:pPr>
                          <w:pStyle w:val="BulletList"/>
                          <w:numPr>
                            <w:ilvl w:val="0"/>
                            <w:numId w:val="7"/>
                          </w:numPr>
                          <w:jc w:val="left"/>
                        </w:pPr>
                        <w:r>
                          <w:t>For HDHPs, confirm that the plan’s deductible and out-of-pocket maximum comply with the 2022 limits.</w:t>
                        </w:r>
                      </w:p>
                      <w:p w:rsidR="0024208C" w:rsidRPr="00526C74" w:rsidRDefault="00713439" w:rsidP="00B56C1A">
                        <w:pPr>
                          <w:pStyle w:val="BulletList"/>
                          <w:numPr>
                            <w:ilvl w:val="0"/>
                            <w:numId w:val="7"/>
                          </w:numPr>
                          <w:jc w:val="left"/>
                        </w:pPr>
                        <w:r>
                          <w:t>Communicate any plan design changes to employees as part of the open enrollment process.</w:t>
                        </w:r>
                      </w:p>
                    </w:txbxContent>
                  </v:textbox>
                </v:shape>
              </v:group>
            </w:pict>
          </mc:Fallback>
        </mc:AlternateContent>
      </w:r>
      <w:r w:rsidR="0025251C" w:rsidRPr="000D5114">
        <w:rPr>
          <w:noProof/>
          <w:color w:val="0B406B"/>
        </w:rPr>
        <w:drawing>
          <wp:anchor distT="0" distB="0" distL="114300" distR="114300" simplePos="0" relativeHeight="251658240" behindDoc="0" locked="1" layoutInCell="1" allowOverlap="1">
            <wp:simplePos x="0" y="0"/>
            <wp:positionH relativeFrom="margin">
              <wp:align>left</wp:align>
            </wp:positionH>
            <wp:positionV relativeFrom="margin">
              <wp:posOffset>6197600</wp:posOffset>
            </wp:positionV>
            <wp:extent cx="1645920" cy="1120140"/>
            <wp:effectExtent l="0" t="0" r="0" b="3810"/>
            <wp:wrapNone/>
            <wp:docPr id="100051" name="Picture 100051"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09564" name=""/>
                    <pic:cNvPicPr>
                      <a:picLocks noChangeAspect="1"/>
                    </pic:cNvPicPr>
                  </pic:nvPicPr>
                  <pic:blipFill>
                    <a:blip r:embed="rId7"/>
                    <a:stretch>
                      <a:fillRect/>
                    </a:stretch>
                  </pic:blipFill>
                  <pic:spPr>
                    <a:xfrm>
                      <a:off x="0" y="0"/>
                      <a:ext cx="1645920" cy="1120140"/>
                    </a:xfrm>
                    <a:prstGeom prst="rect">
                      <a:avLst/>
                    </a:prstGeom>
                  </pic:spPr>
                </pic:pic>
              </a:graphicData>
            </a:graphic>
          </wp:anchor>
        </w:drawing>
      </w:r>
      <w:r w:rsidR="0025251C" w:rsidRPr="000D5114">
        <w:rPr>
          <w:color w:val="0B406B"/>
        </w:rPr>
        <w:t>2022 Open Enrollment Checklist</w:t>
      </w:r>
    </w:p>
    <w:p w:rsidR="008C01A9" w:rsidRPr="008C01A9" w:rsidRDefault="00713439" w:rsidP="008C01A9">
      <w:pPr>
        <w:pStyle w:val="BodyText"/>
      </w:pPr>
      <w:r w:rsidRPr="00B56C1A">
        <w:t>To prepare for open enrollment, group health plan sponsors should be aware of the legal changes affecting the design and administration of their plans for plan years beginning on or after Jan. 1, 2022. Employers should review their plan documents to confirm that they include these required changes.</w:t>
      </w:r>
    </w:p>
    <w:p w:rsidR="00B56C1A" w:rsidRDefault="00713439" w:rsidP="00B56C1A">
      <w:pPr>
        <w:pStyle w:val="BodyText"/>
      </w:pPr>
      <w:r>
        <w:t>In addition, any changes to a health plan’s benefits for the 2022 plan year should be communicated to plan participants through an updated summary plan description (SPD) or a summary of material modifications (SMM).</w:t>
      </w:r>
    </w:p>
    <w:p w:rsidR="00A357CD" w:rsidRPr="00B56C1A" w:rsidRDefault="00CD271A" w:rsidP="004967FA">
      <w:pPr>
        <w:pStyle w:val="BodyText"/>
        <w:sectPr w:rsidR="00A357CD" w:rsidRPr="00B56C1A" w:rsidSect="008A7E71">
          <w:headerReference w:type="default" r:id="rId8"/>
          <w:footerReference w:type="default" r:id="rId9"/>
          <w:pgSz w:w="12240" w:h="15840"/>
          <w:pgMar w:top="3946" w:right="4680" w:bottom="1440" w:left="720" w:header="720" w:footer="720" w:gutter="0"/>
          <w:cols w:space="720"/>
          <w:docGrid w:linePitch="360"/>
        </w:sectPr>
      </w:pPr>
      <w:r>
        <w:rPr>
          <w:noProof/>
        </w:rPr>
        <mc:AlternateContent>
          <mc:Choice Requires="wpg">
            <w:drawing>
              <wp:anchor distT="0" distB="0" distL="114300" distR="114300" simplePos="0" relativeHeight="251661312" behindDoc="1" locked="0" layoutInCell="1" allowOverlap="1">
                <wp:simplePos x="0" y="0"/>
                <wp:positionH relativeFrom="page">
                  <wp:posOffset>5021580</wp:posOffset>
                </wp:positionH>
                <wp:positionV relativeFrom="page">
                  <wp:posOffset>5548630</wp:posOffset>
                </wp:positionV>
                <wp:extent cx="2420620" cy="2827020"/>
                <wp:effectExtent l="0" t="0" r="0" b="0"/>
                <wp:wrapNone/>
                <wp:docPr id="10" name="Group 10"/>
                <wp:cNvGraphicFramePr/>
                <a:graphic xmlns:a="http://schemas.openxmlformats.org/drawingml/2006/main">
                  <a:graphicData uri="http://schemas.microsoft.com/office/word/2010/wordprocessingGroup">
                    <wpg:wgp>
                      <wpg:cNvGrpSpPr/>
                      <wpg:grpSpPr>
                        <a:xfrm>
                          <a:off x="0" y="0"/>
                          <a:ext cx="2420620" cy="2827020"/>
                          <a:chOff x="5021580" y="0"/>
                          <a:chExt cx="2420620" cy="2827251"/>
                        </a:xfrm>
                      </wpg:grpSpPr>
                      <wps:wsp>
                        <wps:cNvPr id="12" name="Text Box 2"/>
                        <wps:cNvSpPr txBox="1">
                          <a:spLocks noChangeArrowheads="1"/>
                        </wps:cNvSpPr>
                        <wps:spPr bwMode="auto">
                          <a:xfrm>
                            <a:off x="5021580" y="0"/>
                            <a:ext cx="2413000" cy="329565"/>
                          </a:xfrm>
                          <a:prstGeom prst="rect">
                            <a:avLst/>
                          </a:prstGeom>
                          <a:noFill/>
                          <a:ln w="9525">
                            <a:noFill/>
                            <a:miter lim="800000"/>
                            <a:headEnd/>
                            <a:tailEnd/>
                          </a:ln>
                        </wps:spPr>
                        <wps:txbx>
                          <w:txbxContent>
                            <w:p w:rsidR="00677DD4" w:rsidRPr="008D2A95" w:rsidRDefault="00677DD4" w:rsidP="008D2A95">
                              <w:pPr>
                                <w:pStyle w:val="HighlightsHeading"/>
                              </w:pPr>
                            </w:p>
                          </w:txbxContent>
                        </wps:txbx>
                        <wps:bodyPr rot="0" vert="horz" wrap="square" anchor="t" anchorCtr="0"/>
                      </wps:wsp>
                      <wps:wsp>
                        <wps:cNvPr id="14" name="Text Box 2"/>
                        <wps:cNvSpPr txBox="1">
                          <a:spLocks noChangeArrowheads="1"/>
                        </wps:cNvSpPr>
                        <wps:spPr bwMode="auto">
                          <a:xfrm>
                            <a:off x="5029200" y="353291"/>
                            <a:ext cx="2413000" cy="2473960"/>
                          </a:xfrm>
                          <a:prstGeom prst="rect">
                            <a:avLst/>
                          </a:prstGeom>
                          <a:noFill/>
                          <a:ln w="9525">
                            <a:noFill/>
                            <a:miter lim="800000"/>
                            <a:headEnd/>
                            <a:tailEnd/>
                          </a:ln>
                        </wps:spPr>
                        <wps:txbx>
                          <w:txbxContent>
                            <w:p w:rsidR="00677DD4" w:rsidRPr="000D5114" w:rsidRDefault="00677DD4" w:rsidP="006A01DB">
                              <w:pPr>
                                <w:pStyle w:val="BulletList"/>
                                <w:ind w:left="360"/>
                                <w:jc w:val="left"/>
                                <w:rPr>
                                  <w:color w:val="0B406B"/>
                                </w:rPr>
                              </w:pPr>
                            </w:p>
                          </w:txbxContent>
                        </wps:txbx>
                        <wps:bodyPr rot="0" vert="horz" wrap="square" anchor="t" anchorCtr="0"/>
                      </wps:wsp>
                    </wpg:wgp>
                  </a:graphicData>
                </a:graphic>
                <wp14:sizeRelH relativeFrom="margin">
                  <wp14:pctWidth>0</wp14:pctWidth>
                </wp14:sizeRelH>
              </wp:anchor>
            </w:drawing>
          </mc:Choice>
          <mc:Fallback>
            <w:pict>
              <v:group id="Group 10" o:spid="_x0000_s1029" style="position:absolute;left:0;text-align:left;margin-left:395.4pt;margin-top:436.9pt;width:190.6pt;height:222.6pt;z-index:-251655168;mso-position-horizontal-relative:page;mso-position-vertical-relative:page;mso-width-relative:margin" coordorigin="50215" coordsize="24206,2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">
                <v:shape id="Text Box 2" o:spid="_x0000_s1030" type="#_x0000_t202" style="position:absolute;left:50215;width:24130;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677DD4" w:rsidRPr="008D2A95" w:rsidRDefault="00677DD4" w:rsidP="008D2A95">
                        <w:pPr>
                          <w:pStyle w:val="HighlightsHeading"/>
                        </w:pPr>
                      </w:p>
                    </w:txbxContent>
                  </v:textbox>
                </v:shape>
                <v:shape id="Text Box 2" o:spid="_x0000_s1031" type="#_x0000_t202" style="position:absolute;left:50292;top:3532;width:24130;height:24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677DD4" w:rsidRPr="000D5114" w:rsidRDefault="00677DD4" w:rsidP="006A01DB">
                        <w:pPr>
                          <w:pStyle w:val="BulletList"/>
                          <w:ind w:left="360"/>
                          <w:jc w:val="left"/>
                          <w:rPr>
                            <w:color w:val="0B406B"/>
                          </w:rPr>
                        </w:pPr>
                      </w:p>
                    </w:txbxContent>
                  </v:textbox>
                </v:shape>
                <w10:wrap anchorx="page" anchory="page"/>
              </v:group>
            </w:pict>
          </mc:Fallback>
        </mc:AlternateContent>
      </w:r>
      <w:r w:rsidR="00713439">
        <w:rPr>
          <w:noProof/>
        </w:rPr>
        <mc:AlternateContent>
          <mc:Choice Requires="wps">
            <w:drawing>
              <wp:anchor distT="0" distB="0" distL="114300" distR="114300" simplePos="0" relativeHeight="251663360" behindDoc="0" locked="0" layoutInCell="1" allowOverlap="1">
                <wp:simplePos x="0" y="0"/>
                <wp:positionH relativeFrom="margin">
                  <wp:posOffset>-12065</wp:posOffset>
                </wp:positionH>
                <wp:positionV relativeFrom="page">
                  <wp:posOffset>6018530</wp:posOffset>
                </wp:positionV>
                <wp:extent cx="4356735" cy="1677670"/>
                <wp:effectExtent l="0" t="0" r="5715"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1677670"/>
                        </a:xfrm>
                        <a:prstGeom prst="rect">
                          <a:avLst/>
                        </a:prstGeom>
                        <a:solidFill>
                          <a:srgbClr val="5083C9">
                            <a:alpha val="10000"/>
                          </a:srgbClr>
                        </a:solidFill>
                        <a:ln w="38100">
                          <a:noFill/>
                          <a:miter lim="800000"/>
                          <a:headEnd/>
                          <a:tailEnd/>
                        </a:ln>
                      </wps:spPr>
                      <wps:txbx>
                        <w:txbxContent>
                          <w:p w:rsidR="008C01A9" w:rsidRPr="000D5114" w:rsidRDefault="00713439" w:rsidP="00A95ADA">
                            <w:pPr>
                              <w:pStyle w:val="LR-Heading"/>
                              <w:rPr>
                                <w:color w:val="0B406B"/>
                              </w:rPr>
                            </w:pPr>
                            <w:r w:rsidRPr="000D5114">
                              <w:rPr>
                                <w:color w:val="0B406B"/>
                              </w:rPr>
                              <w:t>Links and Resources</w:t>
                            </w:r>
                          </w:p>
                          <w:p w:rsidR="00B56C1A" w:rsidRDefault="009321D4" w:rsidP="00B56C1A">
                            <w:pPr>
                              <w:pStyle w:val="Bullet"/>
                              <w:spacing w:after="160"/>
                              <w:ind w:left="450"/>
                            </w:pPr>
                            <w:hyperlink r:id="rId10" w:history="1">
                              <w:r w:rsidR="00713439" w:rsidRPr="003465E9">
                                <w:rPr>
                                  <w:rStyle w:val="Hyperlink"/>
                                </w:rPr>
                                <w:t>Revenue Procedure 20</w:t>
                              </w:r>
                              <w:r w:rsidR="00713439">
                                <w:rPr>
                                  <w:rStyle w:val="Hyperlink"/>
                                </w:rPr>
                                <w:t>21</w:t>
                              </w:r>
                              <w:r w:rsidR="00713439" w:rsidRPr="003465E9">
                                <w:rPr>
                                  <w:rStyle w:val="Hyperlink"/>
                                </w:rPr>
                                <w:t>-</w:t>
                              </w:r>
                              <w:r w:rsidR="00713439">
                                <w:rPr>
                                  <w:rStyle w:val="Hyperlink"/>
                                </w:rPr>
                                <w:t>25</w:t>
                              </w:r>
                            </w:hyperlink>
                            <w:r w:rsidR="00713439">
                              <w:t>, which includes the inflation-adjusted limits for HSAs and HDHPs for 2022</w:t>
                            </w:r>
                            <w:r w:rsidR="00A209FF">
                              <w:t>.</w:t>
                            </w:r>
                          </w:p>
                          <w:p w:rsidR="00B56C1A" w:rsidRDefault="009321D4" w:rsidP="00B56C1A">
                            <w:pPr>
                              <w:pStyle w:val="Bullet"/>
                              <w:spacing w:after="160"/>
                              <w:ind w:left="450"/>
                            </w:pPr>
                            <w:hyperlink r:id="rId11" w:history="1">
                              <w:r w:rsidR="00713439" w:rsidRPr="00534277">
                                <w:rPr>
                                  <w:rStyle w:val="Hyperlink"/>
                                </w:rPr>
                                <w:t>Model notices</w:t>
                              </w:r>
                            </w:hyperlink>
                            <w:r w:rsidR="00713439">
                              <w:t xml:space="preserve"> for group health plans, including the Women’s Health and Cancer Rights Act (WHCRA) Notice</w:t>
                            </w:r>
                            <w:r w:rsidR="00A209FF">
                              <w:t>.</w:t>
                            </w:r>
                          </w:p>
                          <w:p w:rsidR="008C01A9" w:rsidRPr="007201D3" w:rsidRDefault="009321D4" w:rsidP="00B56C1A">
                            <w:pPr>
                              <w:pStyle w:val="Bullet"/>
                              <w:spacing w:after="160"/>
                              <w:ind w:left="450"/>
                            </w:pPr>
                            <w:hyperlink r:id="rId12" w:history="1">
                              <w:r w:rsidR="00B56C1A" w:rsidRPr="00534277">
                                <w:rPr>
                                  <w:rStyle w:val="Hyperlink"/>
                                </w:rPr>
                                <w:t>Model COBRA notices</w:t>
                              </w:r>
                            </w:hyperlink>
                            <w:r w:rsidR="00B56C1A">
                              <w:t xml:space="preserve"> for group health plans</w:t>
                            </w:r>
                            <w:r w:rsidR="00A209FF">
                              <w:t>.</w:t>
                            </w:r>
                          </w:p>
                        </w:txbxContent>
                      </wps:txbx>
                      <wps:bodyPr rot="0" vert="horz" wrap="square" lIns="91440" tIns="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left:0;text-align:left;margin-left:-.95pt;margin-top:473.9pt;width:343.05pt;height:13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" fillcolor="#5083c9" stroked="f" strokeweight="3pt">
                <v:fill opacity="6682f"/>
                <v:textbox inset=",0">
                  <w:txbxContent>
                    <w:p w:rsidR="008C01A9" w:rsidRPr="000D5114" w:rsidRDefault="00713439" w:rsidP="00A95ADA">
                      <w:pPr>
                        <w:pStyle w:val="LR-Heading"/>
                        <w:rPr>
                          <w:color w:val="0B406B"/>
                        </w:rPr>
                      </w:pPr>
                      <w:r w:rsidRPr="000D5114">
                        <w:rPr>
                          <w:color w:val="0B406B"/>
                        </w:rPr>
                        <w:t>Links and Resources</w:t>
                      </w:r>
                    </w:p>
                    <w:p w:rsidR="00B56C1A" w:rsidRDefault="009321D4" w:rsidP="00B56C1A">
                      <w:pPr>
                        <w:pStyle w:val="Bullet"/>
                        <w:spacing w:after="160"/>
                        <w:ind w:left="450"/>
                      </w:pPr>
                      <w:hyperlink r:id="rId13" w:history="1">
                        <w:r w:rsidR="00713439" w:rsidRPr="003465E9">
                          <w:rPr>
                            <w:rStyle w:val="Hyperlink"/>
                          </w:rPr>
                          <w:t>Revenue Procedure 20</w:t>
                        </w:r>
                        <w:r w:rsidR="00713439">
                          <w:rPr>
                            <w:rStyle w:val="Hyperlink"/>
                          </w:rPr>
                          <w:t>21</w:t>
                        </w:r>
                        <w:r w:rsidR="00713439" w:rsidRPr="003465E9">
                          <w:rPr>
                            <w:rStyle w:val="Hyperlink"/>
                          </w:rPr>
                          <w:t>-</w:t>
                        </w:r>
                        <w:r w:rsidR="00713439">
                          <w:rPr>
                            <w:rStyle w:val="Hyperlink"/>
                          </w:rPr>
                          <w:t>25</w:t>
                        </w:r>
                      </w:hyperlink>
                      <w:r w:rsidR="00713439">
                        <w:t>, which includes the inflation-adjusted limits for HSAs and HDHPs for 2022</w:t>
                      </w:r>
                      <w:r w:rsidR="00A209FF">
                        <w:t>.</w:t>
                      </w:r>
                    </w:p>
                    <w:p w:rsidR="00B56C1A" w:rsidRDefault="009321D4" w:rsidP="00B56C1A">
                      <w:pPr>
                        <w:pStyle w:val="Bullet"/>
                        <w:spacing w:after="160"/>
                        <w:ind w:left="450"/>
                      </w:pPr>
                      <w:hyperlink r:id="rId14" w:history="1">
                        <w:r w:rsidR="00713439" w:rsidRPr="00534277">
                          <w:rPr>
                            <w:rStyle w:val="Hyperlink"/>
                          </w:rPr>
                          <w:t>Model notices</w:t>
                        </w:r>
                      </w:hyperlink>
                      <w:r w:rsidR="00713439">
                        <w:t xml:space="preserve"> for group health plans, including the Women’s Health and Cancer Rights Act (WHCRA) Notice</w:t>
                      </w:r>
                      <w:r w:rsidR="00A209FF">
                        <w:t>.</w:t>
                      </w:r>
                    </w:p>
                    <w:p w:rsidR="008C01A9" w:rsidRPr="007201D3" w:rsidRDefault="009321D4" w:rsidP="00B56C1A">
                      <w:pPr>
                        <w:pStyle w:val="Bullet"/>
                        <w:spacing w:after="160"/>
                        <w:ind w:left="450"/>
                      </w:pPr>
                      <w:hyperlink r:id="rId15" w:history="1">
                        <w:r w:rsidR="00B56C1A" w:rsidRPr="00534277">
                          <w:rPr>
                            <w:rStyle w:val="Hyperlink"/>
                          </w:rPr>
                          <w:t>Model COBRA notices</w:t>
                        </w:r>
                      </w:hyperlink>
                      <w:r w:rsidR="00B56C1A">
                        <w:t xml:space="preserve"> for group health plans</w:t>
                      </w:r>
                      <w:r w:rsidR="00A209FF">
                        <w:t>.</w:t>
                      </w:r>
                    </w:p>
                  </w:txbxContent>
                </v:textbox>
                <w10:wrap type="topAndBottom" anchorx="margin" anchory="page"/>
              </v:shape>
            </w:pict>
          </mc:Fallback>
        </mc:AlternateContent>
      </w:r>
      <w:r w:rsidR="00713439">
        <w:t xml:space="preserve">Health plan sponsors should also confirm that their open enrollment materials contain </w:t>
      </w:r>
      <w:r w:rsidR="00A209FF">
        <w:t xml:space="preserve">certain </w:t>
      </w:r>
      <w:r w:rsidR="00713439">
        <w:t xml:space="preserve">required participant notices, when applicable—for example, the summary of benefits and coverage (SBC). </w:t>
      </w:r>
      <w:r w:rsidR="00A209FF">
        <w:t>Some participant notices</w:t>
      </w:r>
      <w:r w:rsidR="00713439">
        <w:t xml:space="preserve"> must</w:t>
      </w:r>
      <w:r w:rsidR="00A209FF">
        <w:t xml:space="preserve"> also</w:t>
      </w:r>
      <w:r w:rsidR="00713439">
        <w:t xml:space="preserve"> be provided annually or upon initial enrollment. To minimize costs and streamline administration, employers should consider including these notices in their open enrollment materials.</w:t>
      </w:r>
      <w:r w:rsidR="000847AD">
        <w:rPr>
          <w:noProof/>
        </w:rPr>
        <mc:AlternateContent>
          <mc:Choice Requires="wps">
            <w:drawing>
              <wp:anchor distT="0" distB="0" distL="114300" distR="114300" simplePos="0" relativeHeight="251660288" behindDoc="0" locked="0" layoutInCell="1" allowOverlap="1">
                <wp:simplePos x="0" y="0"/>
                <wp:positionH relativeFrom="margin">
                  <wp:posOffset>-98425</wp:posOffset>
                </wp:positionH>
                <wp:positionV relativeFrom="margin">
                  <wp:posOffset>5986087</wp:posOffset>
                </wp:positionV>
                <wp:extent cx="4344670" cy="59499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344670" cy="594995"/>
                        </a:xfrm>
                        <a:prstGeom prst="rect">
                          <a:avLst/>
                        </a:prstGeom>
                        <a:noFill/>
                        <a:ln w="6350">
                          <a:noFill/>
                        </a:ln>
                        <a:effectLst/>
                      </wps:spPr>
                      <wps:txbx>
                        <w:txbxContent>
                          <w:p w:rsidR="00E6115F" w:rsidRPr="00CD271A" w:rsidRDefault="00713439" w:rsidP="00E6115F">
                            <w:pPr>
                              <w:pStyle w:val="Header"/>
                              <w:rPr>
                                <w:color w:val="0B406B"/>
                                <w:sz w:val="20"/>
                                <w:szCs w:val="20"/>
                              </w:rPr>
                            </w:pPr>
                            <w:r w:rsidRPr="000847AD">
                              <w:rPr>
                                <w:color w:val="595959" w:themeColor="text1" w:themeTint="A6"/>
                                <w:sz w:val="20"/>
                                <w:szCs w:val="20"/>
                              </w:rPr>
                              <w:t xml:space="preserve">Provided to you by </w:t>
                            </w:r>
                            <w:r w:rsidRPr="00CD271A">
                              <w:rPr>
                                <w:color w:val="0B406B"/>
                                <w:sz w:val="20"/>
                                <w:szCs w:val="20"/>
                              </w:rPr>
                              <w:t>Lawley</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 o:spid="_x0000_s1033" type="#_x0000_t202" style="position:absolute;left:0;text-align:left;margin-left:-7.75pt;margin-top:471.35pt;width:342.1pt;height:46.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" filled="f" stroked="f" strokeweight=".5pt">
                <v:textbox>
                  <w:txbxContent>
                    <w:p w:rsidR="00E6115F" w:rsidRPr="00CD271A" w:rsidRDefault="00713439" w:rsidP="00E6115F">
                      <w:pPr>
                        <w:pStyle w:val="Header"/>
                        <w:rPr>
                          <w:color w:val="0B406B"/>
                          <w:sz w:val="20"/>
                          <w:szCs w:val="20"/>
                        </w:rPr>
                      </w:pPr>
                      <w:r w:rsidRPr="000847AD">
                        <w:rPr>
                          <w:color w:val="595959" w:themeColor="text1" w:themeTint="A6"/>
                          <w:sz w:val="20"/>
                          <w:szCs w:val="20"/>
                        </w:rPr>
                        <w:t xml:space="preserve">Provided to you by </w:t>
                      </w:r>
                      <w:r w:rsidRPr="00CD271A">
                        <w:rPr>
                          <w:color w:val="0B406B"/>
                          <w:sz w:val="20"/>
                          <w:szCs w:val="20"/>
                        </w:rPr>
                        <w:t>Lawley</w:t>
                      </w:r>
                    </w:p>
                  </w:txbxContent>
                </v:textbox>
                <w10:wrap anchorx="margin" anchory="margin"/>
              </v:shape>
            </w:pict>
          </mc:Fallback>
        </mc:AlternateContent>
      </w:r>
      <w:r w:rsidR="00713439" w:rsidRPr="00C84C66">
        <w:rPr>
          <w:b/>
          <w:noProof/>
          <w:color w:val="FFFFFF" w:themeColor="background1"/>
        </w:rPr>
        <w:t xml:space="preserve"> </w:t>
      </w:r>
    </w:p>
    <w:tbl>
      <w:tblPr>
        <w:tblW w:w="0" w:type="auto"/>
        <w:shd w:val="clear" w:color="auto" w:fill="4884A2"/>
        <w:tblLook w:val="04A0" w:firstRow="1" w:lastRow="0" w:firstColumn="1" w:lastColumn="0" w:noHBand="0" w:noVBand="1"/>
      </w:tblPr>
      <w:tblGrid>
        <w:gridCol w:w="10800"/>
      </w:tblGrid>
      <w:tr w:rsidR="00034859" w:rsidTr="009B1176">
        <w:tc>
          <w:tcPr>
            <w:tcW w:w="10800" w:type="dxa"/>
            <w:shd w:val="clear" w:color="auto" w:fill="0B406B"/>
            <w:vAlign w:val="center"/>
          </w:tcPr>
          <w:p w:rsidR="00B56C1A" w:rsidRPr="00B40915" w:rsidRDefault="00713439" w:rsidP="00B56C1A">
            <w:pPr>
              <w:pStyle w:val="TableHeader"/>
            </w:pPr>
            <w:r w:rsidRPr="004B4373">
              <w:lastRenderedPageBreak/>
              <w:t xml:space="preserve">PLAN DESIGN </w:t>
            </w:r>
            <w:r w:rsidRPr="00B56C1A">
              <w:t>CHANGES</w:t>
            </w:r>
          </w:p>
        </w:tc>
      </w:tr>
    </w:tbl>
    <w:p w:rsidR="00B56C1A" w:rsidRPr="00B56C1A" w:rsidRDefault="00713439" w:rsidP="00B56C1A">
      <w:pPr>
        <w:pStyle w:val="SubHeader"/>
      </w:pPr>
      <w:r>
        <w:t>ACA Affordability Standard</w:t>
      </w:r>
    </w:p>
    <w:p w:rsidR="00B56C1A" w:rsidRDefault="00713439" w:rsidP="00B56C1A">
      <w:pPr>
        <w:pStyle w:val="BodyText"/>
      </w:pPr>
      <w:r>
        <w:t xml:space="preserve">Under the </w:t>
      </w:r>
      <w:r w:rsidR="00A209FF">
        <w:t>Affordable Care Act’s (</w:t>
      </w:r>
      <w:r>
        <w:t>ACA</w:t>
      </w:r>
      <w:r w:rsidR="00A209FF">
        <w:t>)</w:t>
      </w:r>
      <w:r>
        <w:t xml:space="preserve"> </w:t>
      </w:r>
      <w:r w:rsidR="00A209FF">
        <w:t xml:space="preserve">employer </w:t>
      </w:r>
      <w:r>
        <w:t xml:space="preserve">shared responsibility rules, </w:t>
      </w:r>
      <w:r w:rsidRPr="00B56C1A">
        <w:t>applicable</w:t>
      </w:r>
      <w:r>
        <w:t xml:space="preserve"> large employers (ALEs) are required to offer affordable, minimum value health coverage to their full-time employees (and dependent children) or risk paying a penalty. The employer shared responsibility requirements are also known as the “employer mandate” or “pay or play” rules.</w:t>
      </w:r>
    </w:p>
    <w:p w:rsidR="00B56C1A" w:rsidRDefault="00713439" w:rsidP="00B56C1A">
      <w:pPr>
        <w:pStyle w:val="BodyText"/>
      </w:pPr>
      <w:r w:rsidRPr="00CD41F2">
        <w:t>Under the ACA, an ALE’s health coverage is considered affordable if the employee’s required contribution to the plan does not exceed 9.5</w:t>
      </w:r>
      <w:r>
        <w:t>%</w:t>
      </w:r>
      <w:r w:rsidRPr="00CD41F2">
        <w:t xml:space="preserve"> of the employee’s household income for the taxable year (as adjusted each year)</w:t>
      </w:r>
      <w:r>
        <w:t>. The adjusted percentage is 9.83% for 2021</w:t>
      </w:r>
      <w:r w:rsidRPr="00CD41F2">
        <w:t>.</w:t>
      </w:r>
    </w:p>
    <w:p w:rsidR="00965888" w:rsidRDefault="00965888" w:rsidP="00B56C1A">
      <w:pPr>
        <w:pStyle w:val="BodyText"/>
      </w:pPr>
      <w:r w:rsidRPr="00965888">
        <w:rPr>
          <w:b/>
        </w:rPr>
        <w:t>For plan years that begin on or after Jan. 1, 202</w:t>
      </w:r>
      <w:r>
        <w:rPr>
          <w:b/>
        </w:rPr>
        <w:t>2</w:t>
      </w:r>
      <w:r w:rsidRPr="00965888">
        <w:rPr>
          <w:b/>
        </w:rPr>
        <w:t>, the affordability percentage is 9.</w:t>
      </w:r>
      <w:r>
        <w:rPr>
          <w:b/>
        </w:rPr>
        <w:t>61</w:t>
      </w:r>
      <w:r w:rsidRPr="00965888">
        <w:rPr>
          <w:b/>
        </w:rPr>
        <w:t>%.</w:t>
      </w:r>
      <w:r>
        <w:t xml:space="preserve"> This means that employer sponsored coverage for the 2022 plan year will be considered affordable under the employer shared responsibility rules if the employee’s required contribution for self-only coverage does not exceed 9.61% of the employee’s household income for the tax year.</w:t>
      </w:r>
    </w:p>
    <w:p w:rsidR="00C3780F" w:rsidRPr="00B56C1A" w:rsidRDefault="00965888" w:rsidP="00B56C1A">
      <w:pPr>
        <w:pStyle w:val="Checkbox"/>
      </w:pPr>
      <w:r>
        <w:t>If you are an ALE, confirm that at least one of the health plans offered to full-time employees (and their dependent children) satisfies the ACA’s affordability standard (9.</w:t>
      </w:r>
      <w:r w:rsidR="00A504A2">
        <w:t>61</w:t>
      </w:r>
      <w:r>
        <w:t>% for 202</w:t>
      </w:r>
      <w:r w:rsidR="00A504A2">
        <w:t>2</w:t>
      </w:r>
      <w:r>
        <w:t xml:space="preserve"> plan years). Because the affordability percentage </w:t>
      </w:r>
      <w:r w:rsidR="00742075">
        <w:t>de</w:t>
      </w:r>
      <w:r>
        <w:t>creased from 202</w:t>
      </w:r>
      <w:r w:rsidR="00A504A2">
        <w:t>1</w:t>
      </w:r>
      <w:r>
        <w:t xml:space="preserve"> when it was 9.</w:t>
      </w:r>
      <w:r w:rsidR="00742075">
        <w:t>83</w:t>
      </w:r>
      <w:r>
        <w:t xml:space="preserve">%, employers may have </w:t>
      </w:r>
      <w:r w:rsidR="00742075">
        <w:t>to adjust the employee c</w:t>
      </w:r>
      <w:r>
        <w:t>ontributions for 202</w:t>
      </w:r>
      <w:r w:rsidR="00742075">
        <w:t>2</w:t>
      </w:r>
      <w:r>
        <w:t xml:space="preserve"> to avoid a penalty under the pay or play rules.</w:t>
      </w:r>
    </w:p>
    <w:p w:rsidR="00B56C1A" w:rsidRPr="003349D5" w:rsidRDefault="00713439" w:rsidP="00B56C1A">
      <w:pPr>
        <w:pStyle w:val="SubHeader"/>
      </w:pPr>
      <w:r>
        <w:t>Out-of-Pocket Maximum</w:t>
      </w:r>
    </w:p>
    <w:p w:rsidR="00B56C1A" w:rsidRPr="00B84054" w:rsidRDefault="00713439" w:rsidP="00B56C1A">
      <w:pPr>
        <w:pStyle w:val="BodyText"/>
      </w:pPr>
      <w:r>
        <w:t>N</w:t>
      </w:r>
      <w:r w:rsidRPr="00800F7E">
        <w:t xml:space="preserve">on-grandfathered health plans are subject to limits on cost sharing for essential health benefits (EHB). </w:t>
      </w:r>
      <w:r w:rsidRPr="00DB4B64">
        <w:t>The annual limit on total enrollee</w:t>
      </w:r>
      <w:r>
        <w:t xml:space="preserve"> cost </w:t>
      </w:r>
      <w:r w:rsidRPr="00DB4B64">
        <w:t xml:space="preserve">sharing for EHB </w:t>
      </w:r>
      <w:r>
        <w:t xml:space="preserve">for plan years beginning on or after Jan. 1, 2022, </w:t>
      </w:r>
      <w:r w:rsidRPr="00DB4B64">
        <w:t>is</w:t>
      </w:r>
      <w:r>
        <w:t xml:space="preserve"> </w:t>
      </w:r>
      <w:r>
        <w:rPr>
          <w:b/>
        </w:rPr>
        <w:t>$8,700</w:t>
      </w:r>
      <w:r w:rsidRPr="00EB08C3">
        <w:t xml:space="preserve"> for self-only coverage and </w:t>
      </w:r>
      <w:r>
        <w:rPr>
          <w:b/>
        </w:rPr>
        <w:t>$17,4</w:t>
      </w:r>
      <w:r w:rsidRPr="00EB08C3">
        <w:rPr>
          <w:b/>
        </w:rPr>
        <w:t>00</w:t>
      </w:r>
      <w:r>
        <w:t xml:space="preserve"> for family coverage</w:t>
      </w:r>
      <w:r w:rsidRPr="00916715">
        <w:t>.</w:t>
      </w:r>
    </w:p>
    <w:p w:rsidR="00B56C1A" w:rsidRDefault="00713439" w:rsidP="00B56C1A">
      <w:pPr>
        <w:pStyle w:val="Checkbox"/>
      </w:pPr>
      <w:r>
        <w:t xml:space="preserve">Review your </w:t>
      </w:r>
      <w:r w:rsidR="00A209FF">
        <w:t xml:space="preserve">plan’s </w:t>
      </w:r>
      <w:r>
        <w:t xml:space="preserve">out-of-pocket maximum to </w:t>
      </w:r>
      <w:r w:rsidR="00A209FF">
        <w:t>en</w:t>
      </w:r>
      <w:r>
        <w:t>sure</w:t>
      </w:r>
      <w:r w:rsidR="00D031F1">
        <w:t xml:space="preserve"> that</w:t>
      </w:r>
      <w:r>
        <w:t xml:space="preserve"> it complies with the </w:t>
      </w:r>
      <w:r w:rsidR="00A209FF">
        <w:t xml:space="preserve">ACA’s </w:t>
      </w:r>
      <w:r>
        <w:t>limits for the 2022 plan year ($8,700 for self-only coverage and $17,400 for family coverage).</w:t>
      </w:r>
    </w:p>
    <w:p w:rsidR="00B56C1A" w:rsidRDefault="00713439" w:rsidP="00B56C1A">
      <w:pPr>
        <w:pStyle w:val="Checkbox"/>
      </w:pPr>
      <w:r>
        <w:t xml:space="preserve">If you have a high deductible health plan (HDHP) </w:t>
      </w:r>
      <w:r w:rsidRPr="00B56C1A">
        <w:t>compatible</w:t>
      </w:r>
      <w:r>
        <w:t xml:space="preserve"> with a health savings account (HSA), keep in mind that your </w:t>
      </w:r>
      <w:r w:rsidR="00A209FF">
        <w:t xml:space="preserve">plan’s </w:t>
      </w:r>
      <w:r>
        <w:t xml:space="preserve">out-of-pocket maximum must be lower than the </w:t>
      </w:r>
      <w:r w:rsidR="00A209FF">
        <w:t xml:space="preserve">ACA’s </w:t>
      </w:r>
      <w:r>
        <w:t>limit. For 2022 plan years, the out-of-pocket maximum limit for HDHPs is $7,050 for self-only coverage and $14,100 for family coverage.</w:t>
      </w:r>
    </w:p>
    <w:p w:rsidR="00D8467E" w:rsidRDefault="00713439" w:rsidP="00B56C1A">
      <w:pPr>
        <w:pStyle w:val="Checkbox"/>
      </w:pPr>
      <w:r>
        <w:t xml:space="preserve">If your plan uses multiple service providers to administer benefits, confirm that the plan coordinates all claims for EHB across the </w:t>
      </w:r>
      <w:r w:rsidR="00A209FF">
        <w:t xml:space="preserve">plan’s </w:t>
      </w:r>
      <w:r>
        <w:t>service providers or divides the out-of-pocket maximum across the categories of benefits, with a combined limit that does not exceed the maximum for 2022.</w:t>
      </w:r>
    </w:p>
    <w:p w:rsidR="005C5C1F" w:rsidRDefault="005C5C1F" w:rsidP="00B56C1A">
      <w:pPr>
        <w:pStyle w:val="Checkbox"/>
        <w:spacing w:after="160"/>
      </w:pPr>
      <w:r w:rsidRPr="00BE48C4">
        <w:t>Group health plans with a family out-of-pocket maximum that is higher than the ACA’s self-only out-of-pocket maximum limit must embed an individual out-of-pocket maximum in family coverage so that no individual’s out-of-pocket expenses exceed $</w:t>
      </w:r>
      <w:r>
        <w:t>8</w:t>
      </w:r>
      <w:r w:rsidRPr="00BE48C4">
        <w:t>,</w:t>
      </w:r>
      <w:r w:rsidR="00991404">
        <w:t>70</w:t>
      </w:r>
      <w:r w:rsidRPr="00BE48C4">
        <w:t>0 for the 20</w:t>
      </w:r>
      <w:r>
        <w:t>2</w:t>
      </w:r>
      <w:r w:rsidR="00991404">
        <w:t>2</w:t>
      </w:r>
      <w:r w:rsidRPr="00BE48C4">
        <w:t xml:space="preserve"> plan year.</w:t>
      </w:r>
    </w:p>
    <w:p w:rsidR="00B56C1A" w:rsidRDefault="00713439" w:rsidP="00B56C1A">
      <w:pPr>
        <w:pStyle w:val="SubHeader"/>
      </w:pPr>
      <w:r>
        <w:t>Preventive Care Benefits</w:t>
      </w:r>
    </w:p>
    <w:p w:rsidR="00B56C1A" w:rsidRDefault="00713439" w:rsidP="00B56C1A">
      <w:pPr>
        <w:pStyle w:val="BodyText"/>
      </w:pPr>
      <w:r>
        <w:t xml:space="preserve">The ACA requires non-grandfathered health plans to cover certain preventive health services without imposing cost-sharing requirements (that is, deductibles, copayments or coinsurance) for the services. Health plans are required to adjust their first-dollar coverage of preventive care services based on the latest preventive care recommendations. If you have a </w:t>
      </w:r>
      <w:r>
        <w:lastRenderedPageBreak/>
        <w:t>non-grandfathered plan, you should confirm that your plan covers the latest recommended preventive care services without imposing any cost sharing.</w:t>
      </w:r>
    </w:p>
    <w:p w:rsidR="00B56C1A" w:rsidRDefault="00713439" w:rsidP="006A01DB">
      <w:pPr>
        <w:pStyle w:val="BodyText"/>
      </w:pPr>
      <w:r>
        <w:t xml:space="preserve">More information on the recommended preventive care services is available through the </w:t>
      </w:r>
      <w:hyperlink r:id="rId16" w:history="1">
        <w:r>
          <w:rPr>
            <w:rStyle w:val="Hyperlink"/>
          </w:rPr>
          <w:t>U.S. Preventive Services Task Force</w:t>
        </w:r>
      </w:hyperlink>
      <w:r w:rsidR="00C36882">
        <w:t>.</w:t>
      </w:r>
    </w:p>
    <w:p w:rsidR="00B56C1A" w:rsidRDefault="00713439" w:rsidP="00B56C1A">
      <w:pPr>
        <w:pStyle w:val="SubHeader"/>
      </w:pPr>
      <w:r>
        <w:t>Health FSA Contributions</w:t>
      </w:r>
    </w:p>
    <w:p w:rsidR="00B56C1A" w:rsidRDefault="00713439" w:rsidP="00B56C1A">
      <w:pPr>
        <w:pStyle w:val="BodyText"/>
      </w:pPr>
      <w:r>
        <w:t xml:space="preserve">The ACA imposes a dollar limit on employees’ salary reduction contributions to a health flexible spending account (FSA) offered under a cafeteria plan. An employer may </w:t>
      </w:r>
      <w:r w:rsidR="00A209FF">
        <w:t xml:space="preserve">set </w:t>
      </w:r>
      <w:r>
        <w:t>its own dollar limit on employees’ salary reduction contributions to a health FSA, as long as the employer’s limit does not exceed the ACA’s maximum limit in effect for the plan year.</w:t>
      </w:r>
    </w:p>
    <w:p w:rsidR="00B56C1A" w:rsidRPr="00CF4251" w:rsidRDefault="00713439" w:rsidP="00CF4251">
      <w:pPr>
        <w:pStyle w:val="BodyText"/>
        <w:rPr>
          <w:b/>
        </w:rPr>
      </w:pPr>
      <w:r>
        <w:t xml:space="preserve">The ACA </w:t>
      </w:r>
      <w:r w:rsidR="00B23869">
        <w:t xml:space="preserve">originally </w:t>
      </w:r>
      <w:r>
        <w:t xml:space="preserve">set the health FSA contribution limit at $2,500. For years after 2013, the dollar limit is indexed for cost-of-living adjustments. </w:t>
      </w:r>
      <w:r w:rsidRPr="00AC04E8">
        <w:rPr>
          <w:b/>
        </w:rPr>
        <w:t>For 202</w:t>
      </w:r>
      <w:r w:rsidR="00CD4BF9" w:rsidRPr="00AC04E8">
        <w:rPr>
          <w:b/>
        </w:rPr>
        <w:t>2</w:t>
      </w:r>
      <w:r w:rsidRPr="00AC04E8">
        <w:rPr>
          <w:b/>
        </w:rPr>
        <w:t xml:space="preserve"> plan years, the health FSA limit</w:t>
      </w:r>
      <w:r w:rsidR="00AC04E8" w:rsidRPr="00AC04E8">
        <w:rPr>
          <w:b/>
        </w:rPr>
        <w:t xml:space="preserve"> has been increased to </w:t>
      </w:r>
      <w:r w:rsidRPr="00AC04E8">
        <w:rPr>
          <w:b/>
        </w:rPr>
        <w:t>$2,</w:t>
      </w:r>
      <w:r w:rsidR="00CD4BF9" w:rsidRPr="00AC04E8">
        <w:rPr>
          <w:b/>
        </w:rPr>
        <w:t>8</w:t>
      </w:r>
      <w:r w:rsidRPr="00AC04E8">
        <w:rPr>
          <w:b/>
        </w:rPr>
        <w:t>50.</w:t>
      </w:r>
      <w:r>
        <w:t xml:space="preserve"> </w:t>
      </w:r>
    </w:p>
    <w:p w:rsidR="00B56C1A" w:rsidRPr="00B56C1A" w:rsidRDefault="00CF4251" w:rsidP="00B56C1A">
      <w:pPr>
        <w:pStyle w:val="Checkbox"/>
      </w:pPr>
      <w:r>
        <w:t>C</w:t>
      </w:r>
      <w:r w:rsidR="00713439" w:rsidRPr="00B56C1A">
        <w:t>onfirm that your health FSA will not allow employees to make pre-tax contributions in excess of that limit.</w:t>
      </w:r>
    </w:p>
    <w:p w:rsidR="00B56C1A" w:rsidRDefault="00713439" w:rsidP="00B56C1A">
      <w:pPr>
        <w:pStyle w:val="Checkbox"/>
      </w:pPr>
      <w:r w:rsidRPr="00B56C1A">
        <w:t>Communicate the health FSA limit to employees as part of the open enrollment process</w:t>
      </w:r>
      <w:r>
        <w:t>.</w:t>
      </w:r>
    </w:p>
    <w:p w:rsidR="00B56C1A" w:rsidRDefault="00713439" w:rsidP="00B56C1A">
      <w:pPr>
        <w:pStyle w:val="SubHeader"/>
      </w:pPr>
      <w:r>
        <w:t>HDHP and HSA Limits for 2022</w:t>
      </w:r>
    </w:p>
    <w:p w:rsidR="00B56C1A" w:rsidRDefault="00713439" w:rsidP="00B56C1A">
      <w:pPr>
        <w:pStyle w:val="BodyText"/>
      </w:pPr>
      <w:r>
        <w:t xml:space="preserve">If you offer an HDHP to your employees that is compatible with an HSA, you should confirm that the HDHP’s minimum deductible and out-of-pocket maximum comply with the 2022 limits. </w:t>
      </w:r>
      <w:r w:rsidRPr="00876703">
        <w:t xml:space="preserve">The IRS limits for </w:t>
      </w:r>
      <w:r>
        <w:t>HSA contributions and HDHP maximum out-of-pocket limit increase for 2022</w:t>
      </w:r>
      <w:r w:rsidRPr="00876703">
        <w:t>. The HSA contribution limits will</w:t>
      </w:r>
      <w:r>
        <w:t xml:space="preserve"> increase effective Jan. 1, </w:t>
      </w:r>
      <w:r w:rsidRPr="004B4373">
        <w:t>202</w:t>
      </w:r>
      <w:r>
        <w:t>2</w:t>
      </w:r>
      <w:r w:rsidRPr="00876703">
        <w:t>, while the HDHP</w:t>
      </w:r>
      <w:r>
        <w:t xml:space="preserve"> out-of-pocket</w:t>
      </w:r>
      <w:r w:rsidRPr="00876703">
        <w:t xml:space="preserve"> limit will increase effective for plan years beginnin</w:t>
      </w:r>
      <w:r>
        <w:t>g on or after Jan. 1, 2022.</w:t>
      </w:r>
    </w:p>
    <w:p w:rsidR="00B56C1A" w:rsidRPr="00B56C1A" w:rsidRDefault="00713439" w:rsidP="00B56C1A">
      <w:pPr>
        <w:pStyle w:val="Checkbox"/>
      </w:pPr>
      <w:r w:rsidRPr="00B56C1A">
        <w:t>Check whether your HDHP’s cost-sharing limits need to be adjusted for the 2022 limits.</w:t>
      </w:r>
    </w:p>
    <w:p w:rsidR="00B56C1A" w:rsidRDefault="00713439" w:rsidP="00B56C1A">
      <w:pPr>
        <w:pStyle w:val="Checkbox"/>
      </w:pPr>
      <w:r w:rsidRPr="00B56C1A">
        <w:t>If you communicate the HSA contribution limits to employees as part of the enrollment process, these enrollment materials should be updated to</w:t>
      </w:r>
      <w:r>
        <w:t xml:space="preserve"> reflect the increased limits that apply for 2022.</w:t>
      </w:r>
    </w:p>
    <w:p w:rsidR="00B56C1A" w:rsidRDefault="00713439" w:rsidP="00B56C1A">
      <w:pPr>
        <w:pStyle w:val="BodyText"/>
      </w:pPr>
      <w:r>
        <w:t xml:space="preserve">The following table contains the HDHP and HSA limits for 2022 as compared to 2021. </w:t>
      </w:r>
      <w:r w:rsidRPr="00876703">
        <w:t xml:space="preserve">It also includes the catch-up contribution limit that applies to HSA-eligible individuals </w:t>
      </w:r>
      <w:r w:rsidR="00A209FF">
        <w:t>age</w:t>
      </w:r>
      <w:r w:rsidRPr="00876703">
        <w:t xml:space="preserve"> 55 or older, which is not adjusted for inflation and stays the same from year to year.</w:t>
      </w:r>
    </w:p>
    <w:tbl>
      <w:tblPr>
        <w:tblW w:w="0" w:type="auto"/>
        <w:jc w:val="center"/>
        <w:tblBorders>
          <w:insideH w:val="single" w:sz="18" w:space="0" w:color="FFFFFF"/>
        </w:tblBorders>
        <w:tblLook w:val="04A0" w:firstRow="1" w:lastRow="0" w:firstColumn="1" w:lastColumn="0" w:noHBand="0" w:noVBand="1"/>
      </w:tblPr>
      <w:tblGrid>
        <w:gridCol w:w="3305"/>
        <w:gridCol w:w="1605"/>
        <w:gridCol w:w="1693"/>
        <w:gridCol w:w="1736"/>
        <w:gridCol w:w="1597"/>
      </w:tblGrid>
      <w:tr w:rsidR="00034859" w:rsidTr="009B1176">
        <w:trPr>
          <w:jc w:val="center"/>
        </w:trPr>
        <w:tc>
          <w:tcPr>
            <w:tcW w:w="4910" w:type="dxa"/>
            <w:gridSpan w:val="2"/>
            <w:tcBorders>
              <w:bottom w:val="single" w:sz="18" w:space="0" w:color="FFFFFF"/>
            </w:tcBorders>
            <w:shd w:val="clear" w:color="auto" w:fill="0B406B"/>
            <w:vAlign w:val="center"/>
          </w:tcPr>
          <w:p w:rsidR="00B56C1A" w:rsidRPr="004B4373" w:rsidRDefault="00713439" w:rsidP="001D6911">
            <w:pPr>
              <w:pStyle w:val="BodyText"/>
              <w:spacing w:before="40" w:after="40"/>
              <w:jc w:val="center"/>
              <w:rPr>
                <w:b/>
                <w:color w:val="FFFFFF" w:themeColor="background1"/>
              </w:rPr>
            </w:pPr>
            <w:r w:rsidRPr="004B4373">
              <w:rPr>
                <w:b/>
                <w:color w:val="FFFFFF" w:themeColor="background1"/>
              </w:rPr>
              <w:t>Type of Limit</w:t>
            </w:r>
          </w:p>
        </w:tc>
        <w:tc>
          <w:tcPr>
            <w:tcW w:w="1693" w:type="dxa"/>
            <w:tcBorders>
              <w:bottom w:val="single" w:sz="18" w:space="0" w:color="FFFFFF"/>
            </w:tcBorders>
            <w:shd w:val="clear" w:color="auto" w:fill="0B406B"/>
            <w:vAlign w:val="center"/>
          </w:tcPr>
          <w:p w:rsidR="00B56C1A" w:rsidRPr="004B4373" w:rsidRDefault="00713439" w:rsidP="001D6911">
            <w:pPr>
              <w:pStyle w:val="BodyText"/>
              <w:spacing w:before="40" w:after="40"/>
              <w:jc w:val="center"/>
              <w:rPr>
                <w:b/>
                <w:color w:val="FFFFFF" w:themeColor="background1"/>
              </w:rPr>
            </w:pPr>
            <w:r w:rsidRPr="004B4373">
              <w:rPr>
                <w:b/>
                <w:color w:val="FFFFFF" w:themeColor="background1"/>
              </w:rPr>
              <w:t>2</w:t>
            </w:r>
            <w:r>
              <w:rPr>
                <w:b/>
                <w:color w:val="FFFFFF" w:themeColor="background1"/>
              </w:rPr>
              <w:t>021</w:t>
            </w:r>
          </w:p>
        </w:tc>
        <w:tc>
          <w:tcPr>
            <w:tcW w:w="1736" w:type="dxa"/>
            <w:tcBorders>
              <w:bottom w:val="single" w:sz="18" w:space="0" w:color="FFFFFF"/>
            </w:tcBorders>
            <w:shd w:val="clear" w:color="auto" w:fill="0B406B"/>
            <w:vAlign w:val="center"/>
          </w:tcPr>
          <w:p w:rsidR="00B56C1A" w:rsidRPr="004B4373" w:rsidRDefault="00713439" w:rsidP="001D6911">
            <w:pPr>
              <w:pStyle w:val="BodyText"/>
              <w:spacing w:before="40" w:after="40"/>
              <w:jc w:val="center"/>
              <w:rPr>
                <w:b/>
                <w:color w:val="FFFFFF" w:themeColor="background1"/>
              </w:rPr>
            </w:pPr>
            <w:r w:rsidRPr="004B4373">
              <w:rPr>
                <w:b/>
                <w:color w:val="FFFFFF" w:themeColor="background1"/>
              </w:rPr>
              <w:t>202</w:t>
            </w:r>
            <w:r>
              <w:rPr>
                <w:b/>
                <w:color w:val="FFFFFF" w:themeColor="background1"/>
              </w:rPr>
              <w:t>2</w:t>
            </w:r>
          </w:p>
        </w:tc>
        <w:tc>
          <w:tcPr>
            <w:tcW w:w="1597" w:type="dxa"/>
            <w:tcBorders>
              <w:bottom w:val="single" w:sz="18" w:space="0" w:color="FFFFFF"/>
            </w:tcBorders>
            <w:shd w:val="clear" w:color="auto" w:fill="0B406B"/>
            <w:vAlign w:val="center"/>
          </w:tcPr>
          <w:p w:rsidR="00B56C1A" w:rsidRPr="004B4373" w:rsidRDefault="00713439" w:rsidP="001D6911">
            <w:pPr>
              <w:pStyle w:val="BodyText"/>
              <w:spacing w:before="40" w:after="40"/>
              <w:jc w:val="center"/>
              <w:rPr>
                <w:b/>
                <w:color w:val="FFFFFF" w:themeColor="background1"/>
              </w:rPr>
            </w:pPr>
            <w:r w:rsidRPr="004B4373">
              <w:rPr>
                <w:b/>
                <w:color w:val="FFFFFF" w:themeColor="background1"/>
              </w:rPr>
              <w:t>Change</w:t>
            </w:r>
          </w:p>
        </w:tc>
      </w:tr>
      <w:tr w:rsidR="00034859" w:rsidTr="001D6911">
        <w:trPr>
          <w:trHeight w:val="81"/>
          <w:jc w:val="center"/>
        </w:trPr>
        <w:tc>
          <w:tcPr>
            <w:tcW w:w="3305" w:type="dxa"/>
            <w:vMerge w:val="restart"/>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4B4373" w:rsidRDefault="00713439" w:rsidP="00B56C1A">
            <w:pPr>
              <w:pStyle w:val="BodyText"/>
              <w:spacing w:before="40" w:after="40"/>
              <w:jc w:val="center"/>
              <w:rPr>
                <w:b/>
              </w:rPr>
            </w:pPr>
            <w:r w:rsidRPr="004B4373">
              <w:rPr>
                <w:b/>
              </w:rPr>
              <w:t>HSA Contribution Limit</w:t>
            </w:r>
          </w:p>
        </w:tc>
        <w:tc>
          <w:tcPr>
            <w:tcW w:w="1605"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Default="00713439" w:rsidP="00B56C1A">
            <w:pPr>
              <w:pStyle w:val="BodyText"/>
              <w:spacing w:before="40" w:after="40"/>
              <w:jc w:val="center"/>
            </w:pPr>
            <w:r>
              <w:t>Self-only</w:t>
            </w:r>
          </w:p>
        </w:tc>
        <w:tc>
          <w:tcPr>
            <w:tcW w:w="1693"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FF0B8B" w:rsidRDefault="00713439" w:rsidP="00B56C1A">
            <w:pPr>
              <w:pStyle w:val="BodyText"/>
              <w:spacing w:before="40" w:after="40"/>
              <w:jc w:val="center"/>
            </w:pPr>
            <w:r>
              <w:t>$3,600</w:t>
            </w:r>
          </w:p>
        </w:tc>
        <w:tc>
          <w:tcPr>
            <w:tcW w:w="1736"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FF0B8B" w:rsidRDefault="00713439" w:rsidP="00B56C1A">
            <w:pPr>
              <w:pStyle w:val="BodyText"/>
              <w:spacing w:before="40" w:after="40"/>
              <w:jc w:val="center"/>
            </w:pPr>
            <w:r>
              <w:t>$3,650</w:t>
            </w:r>
          </w:p>
        </w:tc>
        <w:tc>
          <w:tcPr>
            <w:tcW w:w="1597"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4B4373" w:rsidRDefault="00713439" w:rsidP="00B56C1A">
            <w:pPr>
              <w:pStyle w:val="BodyText"/>
              <w:spacing w:before="40" w:after="40"/>
              <w:jc w:val="center"/>
              <w:rPr>
                <w:b/>
              </w:rPr>
            </w:pPr>
            <w:r w:rsidRPr="004B4373">
              <w:rPr>
                <w:b/>
              </w:rPr>
              <w:t>Up $50</w:t>
            </w:r>
          </w:p>
        </w:tc>
      </w:tr>
      <w:tr w:rsidR="00034859" w:rsidTr="001D6911">
        <w:trPr>
          <w:trHeight w:val="32"/>
          <w:jc w:val="center"/>
        </w:trPr>
        <w:tc>
          <w:tcPr>
            <w:tcW w:w="3305" w:type="dxa"/>
            <w:vMerge/>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230DF6" w:rsidRDefault="00B56C1A" w:rsidP="00B56C1A">
            <w:pPr>
              <w:pStyle w:val="BodyText"/>
              <w:spacing w:before="40" w:after="40"/>
              <w:jc w:val="center"/>
            </w:pPr>
          </w:p>
        </w:tc>
        <w:tc>
          <w:tcPr>
            <w:tcW w:w="1605"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Default="00713439" w:rsidP="00B56C1A">
            <w:pPr>
              <w:pStyle w:val="BodyText"/>
              <w:spacing w:before="40" w:after="40"/>
              <w:jc w:val="center"/>
            </w:pPr>
            <w:r>
              <w:t>Family</w:t>
            </w:r>
          </w:p>
        </w:tc>
        <w:tc>
          <w:tcPr>
            <w:tcW w:w="1693"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FF0B8B" w:rsidRDefault="00713439" w:rsidP="00B56C1A">
            <w:pPr>
              <w:pStyle w:val="BodyText"/>
              <w:spacing w:before="40" w:after="40"/>
              <w:jc w:val="center"/>
            </w:pPr>
            <w:r>
              <w:t>$7,200</w:t>
            </w:r>
          </w:p>
        </w:tc>
        <w:tc>
          <w:tcPr>
            <w:tcW w:w="1736"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FF0B8B" w:rsidRDefault="00713439" w:rsidP="00B56C1A">
            <w:pPr>
              <w:pStyle w:val="BodyText"/>
              <w:spacing w:before="40" w:after="40"/>
              <w:jc w:val="center"/>
            </w:pPr>
            <w:r>
              <w:t>$7,300</w:t>
            </w:r>
          </w:p>
        </w:tc>
        <w:tc>
          <w:tcPr>
            <w:tcW w:w="1597"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4B4373" w:rsidRDefault="00713439" w:rsidP="00B56C1A">
            <w:pPr>
              <w:pStyle w:val="BodyText"/>
              <w:spacing w:before="40" w:after="40"/>
              <w:jc w:val="center"/>
              <w:rPr>
                <w:b/>
              </w:rPr>
            </w:pPr>
            <w:r w:rsidRPr="004B4373">
              <w:rPr>
                <w:b/>
              </w:rPr>
              <w:t>Up $100</w:t>
            </w:r>
          </w:p>
        </w:tc>
      </w:tr>
      <w:tr w:rsidR="00034859" w:rsidTr="001D6911">
        <w:trPr>
          <w:trHeight w:val="162"/>
          <w:jc w:val="center"/>
        </w:trPr>
        <w:tc>
          <w:tcPr>
            <w:tcW w:w="3305"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230DF6" w:rsidRDefault="00713439" w:rsidP="00B56C1A">
            <w:pPr>
              <w:pStyle w:val="BodyText"/>
              <w:spacing w:before="40" w:after="40"/>
              <w:jc w:val="center"/>
              <w:rPr>
                <w:b/>
              </w:rPr>
            </w:pPr>
            <w:r w:rsidRPr="00230DF6">
              <w:rPr>
                <w:b/>
              </w:rPr>
              <w:t>HSA Catch-up Contributions</w:t>
            </w:r>
            <w:r>
              <w:rPr>
                <w:b/>
              </w:rPr>
              <w:br/>
            </w:r>
            <w:r w:rsidRPr="004B4373">
              <w:rPr>
                <w:i/>
              </w:rPr>
              <w:t>(not subject to adjustment for inflation)</w:t>
            </w:r>
          </w:p>
        </w:tc>
        <w:tc>
          <w:tcPr>
            <w:tcW w:w="1605"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Default="00713439" w:rsidP="00B56C1A">
            <w:pPr>
              <w:pStyle w:val="BodyText"/>
              <w:spacing w:before="40" w:after="40"/>
              <w:jc w:val="center"/>
            </w:pPr>
            <w:r>
              <w:t>Age 55 or older</w:t>
            </w:r>
          </w:p>
        </w:tc>
        <w:tc>
          <w:tcPr>
            <w:tcW w:w="1693"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FF0B8B" w:rsidRDefault="00713439" w:rsidP="00B56C1A">
            <w:pPr>
              <w:pStyle w:val="BodyText"/>
              <w:spacing w:before="40" w:after="40"/>
              <w:jc w:val="center"/>
            </w:pPr>
            <w:r>
              <w:t>$1,000</w:t>
            </w:r>
          </w:p>
        </w:tc>
        <w:tc>
          <w:tcPr>
            <w:tcW w:w="1736"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FF0B8B" w:rsidRDefault="00713439" w:rsidP="00B56C1A">
            <w:pPr>
              <w:pStyle w:val="BodyText"/>
              <w:spacing w:before="40" w:after="40"/>
              <w:jc w:val="center"/>
            </w:pPr>
            <w:r>
              <w:t>$1,000</w:t>
            </w:r>
          </w:p>
        </w:tc>
        <w:tc>
          <w:tcPr>
            <w:tcW w:w="1597"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FF0B8B" w:rsidRDefault="00713439" w:rsidP="00B56C1A">
            <w:pPr>
              <w:pStyle w:val="BodyText"/>
              <w:spacing w:before="40" w:after="40"/>
              <w:jc w:val="center"/>
            </w:pPr>
            <w:r w:rsidRPr="00FF0B8B">
              <w:t>No change</w:t>
            </w:r>
          </w:p>
        </w:tc>
      </w:tr>
      <w:tr w:rsidR="00034859" w:rsidTr="001D6911">
        <w:trPr>
          <w:trHeight w:val="36"/>
          <w:jc w:val="center"/>
        </w:trPr>
        <w:tc>
          <w:tcPr>
            <w:tcW w:w="3305" w:type="dxa"/>
            <w:vMerge w:val="restart"/>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4B4373" w:rsidRDefault="00713439" w:rsidP="00B56C1A">
            <w:pPr>
              <w:pStyle w:val="BodyText"/>
              <w:spacing w:before="40" w:after="40"/>
              <w:jc w:val="center"/>
              <w:rPr>
                <w:b/>
              </w:rPr>
            </w:pPr>
            <w:r w:rsidRPr="004B4373">
              <w:rPr>
                <w:b/>
              </w:rPr>
              <w:t>HDHP Minimum Deductible</w:t>
            </w:r>
          </w:p>
        </w:tc>
        <w:tc>
          <w:tcPr>
            <w:tcW w:w="1605"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Default="00713439" w:rsidP="00B56C1A">
            <w:pPr>
              <w:pStyle w:val="BodyText"/>
              <w:spacing w:before="40" w:after="40"/>
              <w:jc w:val="center"/>
            </w:pPr>
            <w:r>
              <w:t>Self-only</w:t>
            </w:r>
          </w:p>
        </w:tc>
        <w:tc>
          <w:tcPr>
            <w:tcW w:w="1693"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FF0B8B" w:rsidRDefault="00713439" w:rsidP="00B56C1A">
            <w:pPr>
              <w:pStyle w:val="BodyText"/>
              <w:spacing w:before="40" w:after="40"/>
              <w:jc w:val="center"/>
            </w:pPr>
            <w:r>
              <w:t>$1,400</w:t>
            </w:r>
          </w:p>
        </w:tc>
        <w:tc>
          <w:tcPr>
            <w:tcW w:w="1736"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FF0B8B" w:rsidRDefault="00713439" w:rsidP="00B56C1A">
            <w:pPr>
              <w:pStyle w:val="BodyText"/>
              <w:spacing w:before="40" w:after="40"/>
              <w:jc w:val="center"/>
            </w:pPr>
            <w:r>
              <w:t>$1,400</w:t>
            </w:r>
          </w:p>
        </w:tc>
        <w:tc>
          <w:tcPr>
            <w:tcW w:w="1597"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4B4373" w:rsidRDefault="00713439" w:rsidP="00B56C1A">
            <w:pPr>
              <w:pStyle w:val="BodyText"/>
              <w:spacing w:before="40" w:after="40"/>
              <w:jc w:val="center"/>
            </w:pPr>
            <w:r>
              <w:t>No change</w:t>
            </w:r>
          </w:p>
        </w:tc>
      </w:tr>
      <w:tr w:rsidR="00034859" w:rsidTr="001D6911">
        <w:trPr>
          <w:trHeight w:val="32"/>
          <w:jc w:val="center"/>
        </w:trPr>
        <w:tc>
          <w:tcPr>
            <w:tcW w:w="3305" w:type="dxa"/>
            <w:vMerge/>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230DF6" w:rsidRDefault="00B56C1A" w:rsidP="00B56C1A">
            <w:pPr>
              <w:pStyle w:val="BodyText"/>
              <w:spacing w:before="40" w:after="40"/>
              <w:jc w:val="center"/>
            </w:pPr>
          </w:p>
        </w:tc>
        <w:tc>
          <w:tcPr>
            <w:tcW w:w="1605"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Default="00713439" w:rsidP="00B56C1A">
            <w:pPr>
              <w:pStyle w:val="BodyText"/>
              <w:spacing w:before="40" w:after="40"/>
              <w:jc w:val="center"/>
            </w:pPr>
            <w:r>
              <w:t>Family</w:t>
            </w:r>
          </w:p>
        </w:tc>
        <w:tc>
          <w:tcPr>
            <w:tcW w:w="1693"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FF0B8B" w:rsidRDefault="00713439" w:rsidP="00B56C1A">
            <w:pPr>
              <w:pStyle w:val="BodyText"/>
              <w:spacing w:before="40" w:after="40"/>
              <w:jc w:val="center"/>
            </w:pPr>
            <w:r>
              <w:t>$2,800</w:t>
            </w:r>
          </w:p>
        </w:tc>
        <w:tc>
          <w:tcPr>
            <w:tcW w:w="1736"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FF0B8B" w:rsidRDefault="00713439" w:rsidP="00B56C1A">
            <w:pPr>
              <w:pStyle w:val="BodyText"/>
              <w:spacing w:before="40" w:after="40"/>
              <w:jc w:val="center"/>
            </w:pPr>
            <w:r>
              <w:t>$2,800</w:t>
            </w:r>
          </w:p>
        </w:tc>
        <w:tc>
          <w:tcPr>
            <w:tcW w:w="1597"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4B4373" w:rsidRDefault="00713439" w:rsidP="00B56C1A">
            <w:pPr>
              <w:pStyle w:val="BodyText"/>
              <w:spacing w:before="40" w:after="40"/>
              <w:jc w:val="center"/>
            </w:pPr>
            <w:r>
              <w:t>No change</w:t>
            </w:r>
          </w:p>
        </w:tc>
      </w:tr>
      <w:tr w:rsidR="00034859" w:rsidTr="001D6911">
        <w:trPr>
          <w:trHeight w:val="617"/>
          <w:jc w:val="center"/>
        </w:trPr>
        <w:tc>
          <w:tcPr>
            <w:tcW w:w="3305" w:type="dxa"/>
            <w:vMerge w:val="restart"/>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230DF6" w:rsidRDefault="00713439" w:rsidP="00B56C1A">
            <w:pPr>
              <w:pStyle w:val="BodyText"/>
              <w:spacing w:before="40" w:after="40"/>
              <w:jc w:val="center"/>
              <w:rPr>
                <w:b/>
              </w:rPr>
            </w:pPr>
            <w:r w:rsidRPr="00230DF6">
              <w:rPr>
                <w:b/>
              </w:rPr>
              <w:t>HDHP Maximum Out-of-pocket Expense Limit</w:t>
            </w:r>
            <w:r>
              <w:rPr>
                <w:b/>
              </w:rPr>
              <w:br/>
            </w:r>
            <w:r w:rsidRPr="004B4373">
              <w:rPr>
                <w:i/>
              </w:rPr>
              <w:t>(deductibles, copayments and other amounts, but not premiums)</w:t>
            </w:r>
          </w:p>
        </w:tc>
        <w:tc>
          <w:tcPr>
            <w:tcW w:w="1605"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Default="00713439" w:rsidP="00B56C1A">
            <w:pPr>
              <w:pStyle w:val="BodyText"/>
              <w:spacing w:before="40" w:after="40"/>
              <w:jc w:val="center"/>
            </w:pPr>
            <w:r>
              <w:t>Self-only</w:t>
            </w:r>
          </w:p>
        </w:tc>
        <w:tc>
          <w:tcPr>
            <w:tcW w:w="1693"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FF0B8B" w:rsidRDefault="00713439" w:rsidP="00B56C1A">
            <w:pPr>
              <w:pStyle w:val="BodyText"/>
              <w:spacing w:before="40" w:after="40"/>
              <w:jc w:val="center"/>
            </w:pPr>
            <w:r>
              <w:t>$7,000</w:t>
            </w:r>
          </w:p>
        </w:tc>
        <w:tc>
          <w:tcPr>
            <w:tcW w:w="1736"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FF0B8B" w:rsidRDefault="00713439" w:rsidP="00B56C1A">
            <w:pPr>
              <w:pStyle w:val="BodyText"/>
              <w:spacing w:before="40" w:after="40"/>
              <w:jc w:val="center"/>
            </w:pPr>
            <w:r>
              <w:t>$7,050</w:t>
            </w:r>
          </w:p>
        </w:tc>
        <w:tc>
          <w:tcPr>
            <w:tcW w:w="1597"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4B4373" w:rsidRDefault="00713439" w:rsidP="00B56C1A">
            <w:pPr>
              <w:pStyle w:val="BodyText"/>
              <w:spacing w:before="40" w:after="40"/>
              <w:jc w:val="center"/>
              <w:rPr>
                <w:b/>
              </w:rPr>
            </w:pPr>
            <w:r w:rsidRPr="004B4373">
              <w:rPr>
                <w:b/>
              </w:rPr>
              <w:t>Up $</w:t>
            </w:r>
            <w:r>
              <w:rPr>
                <w:b/>
              </w:rPr>
              <w:t>5</w:t>
            </w:r>
            <w:r w:rsidRPr="004B4373">
              <w:rPr>
                <w:b/>
              </w:rPr>
              <w:t>0</w:t>
            </w:r>
          </w:p>
        </w:tc>
      </w:tr>
      <w:tr w:rsidR="00034859" w:rsidTr="001D6911">
        <w:trPr>
          <w:trHeight w:val="617"/>
          <w:jc w:val="center"/>
        </w:trPr>
        <w:tc>
          <w:tcPr>
            <w:tcW w:w="3305" w:type="dxa"/>
            <w:vMerge/>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F62C92" w:rsidRDefault="00B56C1A" w:rsidP="00B56C1A">
            <w:pPr>
              <w:pStyle w:val="BodyText"/>
              <w:spacing w:before="40" w:after="40"/>
            </w:pPr>
          </w:p>
        </w:tc>
        <w:tc>
          <w:tcPr>
            <w:tcW w:w="1605"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Default="00713439" w:rsidP="00B56C1A">
            <w:pPr>
              <w:pStyle w:val="BodyText"/>
              <w:spacing w:before="40" w:after="40"/>
              <w:jc w:val="center"/>
            </w:pPr>
            <w:r>
              <w:t>Family</w:t>
            </w:r>
          </w:p>
        </w:tc>
        <w:tc>
          <w:tcPr>
            <w:tcW w:w="1693"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FF0B8B" w:rsidRDefault="00713439" w:rsidP="00B56C1A">
            <w:pPr>
              <w:pStyle w:val="BodyText"/>
              <w:spacing w:before="40" w:after="40"/>
              <w:jc w:val="center"/>
            </w:pPr>
            <w:r>
              <w:t>$14,000</w:t>
            </w:r>
          </w:p>
        </w:tc>
        <w:tc>
          <w:tcPr>
            <w:tcW w:w="1736"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FF0B8B" w:rsidRDefault="00713439" w:rsidP="00B56C1A">
            <w:pPr>
              <w:pStyle w:val="BodyText"/>
              <w:spacing w:before="40" w:after="40"/>
              <w:jc w:val="center"/>
            </w:pPr>
            <w:r>
              <w:t>$14,100</w:t>
            </w:r>
          </w:p>
        </w:tc>
        <w:tc>
          <w:tcPr>
            <w:tcW w:w="1597"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B56C1A" w:rsidRPr="004B4373" w:rsidRDefault="00713439" w:rsidP="00B56C1A">
            <w:pPr>
              <w:pStyle w:val="BodyText"/>
              <w:spacing w:before="40" w:after="40"/>
              <w:jc w:val="center"/>
              <w:rPr>
                <w:b/>
              </w:rPr>
            </w:pPr>
            <w:r w:rsidRPr="004B4373">
              <w:rPr>
                <w:b/>
              </w:rPr>
              <w:t>Up $</w:t>
            </w:r>
            <w:r>
              <w:rPr>
                <w:b/>
              </w:rPr>
              <w:t>1</w:t>
            </w:r>
            <w:r w:rsidRPr="004B4373">
              <w:rPr>
                <w:b/>
              </w:rPr>
              <w:t>00</w:t>
            </w:r>
          </w:p>
        </w:tc>
      </w:tr>
    </w:tbl>
    <w:p w:rsidR="00B56C1A" w:rsidRDefault="00B56C1A" w:rsidP="00255CB4">
      <w:pPr>
        <w:pStyle w:val="Checkbox"/>
        <w:numPr>
          <w:ilvl w:val="0"/>
          <w:numId w:val="0"/>
        </w:numPr>
        <w:ind w:left="540" w:hanging="450"/>
      </w:pPr>
    </w:p>
    <w:p w:rsidR="00255CB4" w:rsidRPr="00255CB4" w:rsidRDefault="00255CB4" w:rsidP="00255CB4">
      <w:pPr>
        <w:tabs>
          <w:tab w:val="left" w:pos="540"/>
        </w:tabs>
        <w:ind w:left="540" w:hanging="450"/>
        <w:jc w:val="both"/>
        <w:rPr>
          <w:rFonts w:ascii="Calibri" w:eastAsia="Times New Roman" w:hAnsi="Calibri" w:cs="Arial"/>
          <w:color w:val="595959"/>
          <w:szCs w:val="20"/>
        </w:rPr>
      </w:pPr>
    </w:p>
    <w:tbl>
      <w:tblPr>
        <w:tblW w:w="0" w:type="auto"/>
        <w:shd w:val="clear" w:color="auto" w:fill="4884A2"/>
        <w:tblLook w:val="04A0" w:firstRow="1" w:lastRow="0" w:firstColumn="1" w:lastColumn="0" w:noHBand="0" w:noVBand="1"/>
      </w:tblPr>
      <w:tblGrid>
        <w:gridCol w:w="10800"/>
      </w:tblGrid>
      <w:tr w:rsidR="00255CB4" w:rsidRPr="00255CB4" w:rsidTr="00A51511">
        <w:tc>
          <w:tcPr>
            <w:tcW w:w="10800" w:type="dxa"/>
            <w:shd w:val="clear" w:color="auto" w:fill="0B406B"/>
            <w:vAlign w:val="center"/>
          </w:tcPr>
          <w:p w:rsidR="00255CB4" w:rsidRPr="00255CB4" w:rsidRDefault="00255CB4" w:rsidP="00255CB4">
            <w:pPr>
              <w:spacing w:before="80" w:after="80"/>
              <w:jc w:val="center"/>
              <w:rPr>
                <w:rFonts w:ascii="Calibri" w:eastAsia="Times New Roman" w:hAnsi="Calibri" w:cs="Arial"/>
                <w:b/>
                <w:color w:val="FFFFFF" w:themeColor="background1"/>
                <w:sz w:val="32"/>
                <w:szCs w:val="26"/>
              </w:rPr>
            </w:pPr>
            <w:r w:rsidRPr="00255CB4">
              <w:rPr>
                <w:rFonts w:ascii="Calibri" w:eastAsia="Times New Roman" w:hAnsi="Calibri" w:cs="Arial"/>
                <w:b/>
                <w:color w:val="FFFFFF" w:themeColor="background1"/>
                <w:sz w:val="32"/>
                <w:szCs w:val="26"/>
              </w:rPr>
              <w:t>ACA EMPLOYER MANDATE REQUIREMENTS</w:t>
            </w:r>
          </w:p>
        </w:tc>
      </w:tr>
    </w:tbl>
    <w:p w:rsidR="00255CB4" w:rsidRPr="00255CB4" w:rsidRDefault="00255CB4" w:rsidP="00255CB4">
      <w:pPr>
        <w:tabs>
          <w:tab w:val="left" w:pos="540"/>
        </w:tabs>
        <w:ind w:left="540" w:hanging="450"/>
        <w:jc w:val="both"/>
        <w:rPr>
          <w:rFonts w:ascii="Calibri" w:eastAsia="Times New Roman" w:hAnsi="Calibri" w:cs="Arial"/>
          <w:color w:val="595959"/>
          <w:szCs w:val="20"/>
        </w:rPr>
      </w:pPr>
    </w:p>
    <w:p w:rsidR="00255CB4" w:rsidRPr="00255CB4" w:rsidRDefault="00255CB4" w:rsidP="00255CB4">
      <w:pPr>
        <w:widowControl w:val="0"/>
        <w:tabs>
          <w:tab w:val="left" w:pos="580"/>
        </w:tabs>
        <w:spacing w:before="88" w:after="0" w:line="240" w:lineRule="auto"/>
        <w:outlineLvl w:val="1"/>
        <w:rPr>
          <w:rFonts w:ascii="Calibri" w:hAnsi="Calibri" w:cs="Calibri"/>
          <w:b/>
          <w:bCs/>
          <w:iCs/>
          <w:sz w:val="28"/>
          <w:szCs w:val="28"/>
        </w:rPr>
      </w:pPr>
      <w:r w:rsidRPr="00255CB4">
        <w:rPr>
          <w:rFonts w:ascii="Calibri" w:hAnsi="Calibri" w:cs="Calibri"/>
          <w:b/>
          <w:bCs/>
          <w:iCs/>
          <w:color w:val="595958"/>
          <w:sz w:val="28"/>
          <w:szCs w:val="28"/>
        </w:rPr>
        <w:t>Applicable Large Employer Status</w:t>
      </w:r>
      <w:r w:rsidRPr="00255CB4">
        <w:rPr>
          <w:rFonts w:ascii="Calibri" w:hAnsi="Calibri" w:cs="Calibri"/>
          <w:b/>
          <w:bCs/>
          <w:iCs/>
          <w:color w:val="595958"/>
          <w:spacing w:val="-12"/>
          <w:sz w:val="28"/>
          <w:szCs w:val="28"/>
        </w:rPr>
        <w:t xml:space="preserve"> </w:t>
      </w:r>
      <w:r w:rsidRPr="00255CB4">
        <w:rPr>
          <w:rFonts w:ascii="Calibri" w:hAnsi="Calibri" w:cs="Calibri"/>
          <w:b/>
          <w:bCs/>
          <w:iCs/>
          <w:color w:val="595958"/>
          <w:sz w:val="28"/>
          <w:szCs w:val="28"/>
        </w:rPr>
        <w:t>(ALE)</w:t>
      </w:r>
    </w:p>
    <w:p w:rsidR="00255CB4" w:rsidRPr="00255CB4" w:rsidRDefault="00255CB4" w:rsidP="00255CB4">
      <w:pPr>
        <w:jc w:val="both"/>
        <w:rPr>
          <w:rFonts w:ascii="Calibri" w:eastAsia="Times New Roman" w:hAnsi="Calibri" w:cs="Arial"/>
          <w:szCs w:val="20"/>
        </w:rPr>
      </w:pPr>
      <w:r w:rsidRPr="00255CB4">
        <w:rPr>
          <w:rFonts w:ascii="Calibri" w:eastAsia="Times New Roman" w:hAnsi="Calibri" w:cs="Arial"/>
          <w:color w:val="595959"/>
          <w:szCs w:val="20"/>
        </w:rPr>
        <w:t>Under the ACA’s employer penalty rules, applicable large employers (</w:t>
      </w:r>
      <w:proofErr w:type="spellStart"/>
      <w:r w:rsidRPr="00255CB4">
        <w:rPr>
          <w:rFonts w:ascii="Calibri" w:eastAsia="Times New Roman" w:hAnsi="Calibri" w:cs="Arial"/>
          <w:color w:val="595959"/>
          <w:szCs w:val="20"/>
        </w:rPr>
        <w:t>ALEs</w:t>
      </w:r>
      <w:proofErr w:type="spellEnd"/>
      <w:r w:rsidRPr="00255CB4">
        <w:rPr>
          <w:rFonts w:ascii="Calibri" w:eastAsia="Times New Roman" w:hAnsi="Calibri" w:cs="Arial"/>
          <w:color w:val="595959"/>
          <w:szCs w:val="20"/>
        </w:rPr>
        <w:t>) that do not offer health coverage to their full-time employees (and dependent children) that is affordable and provides minimum value will be subject to penalties if any full-time employee receives a government subsidy for health coverage through an Exchange.</w:t>
      </w:r>
    </w:p>
    <w:p w:rsidR="00255CB4" w:rsidRPr="00255CB4" w:rsidRDefault="00255CB4" w:rsidP="00255CB4">
      <w:pPr>
        <w:jc w:val="both"/>
        <w:rPr>
          <w:rFonts w:ascii="Calibri" w:eastAsia="Times New Roman" w:hAnsi="Calibri" w:cs="Arial"/>
          <w:szCs w:val="20"/>
        </w:rPr>
      </w:pPr>
      <w:r w:rsidRPr="00255CB4">
        <w:rPr>
          <w:rFonts w:ascii="Calibri" w:eastAsia="Times New Roman" w:hAnsi="Calibri" w:cs="Arial"/>
          <w:color w:val="595959"/>
          <w:szCs w:val="20"/>
        </w:rPr>
        <w:t xml:space="preserve">To qualify as an ALE, an employer must employ, on average, </w:t>
      </w:r>
      <w:r w:rsidRPr="00255CB4">
        <w:rPr>
          <w:rFonts w:ascii="Calibri" w:eastAsia="Times New Roman" w:hAnsi="Calibri" w:cs="Arial"/>
          <w:b/>
          <w:color w:val="595959"/>
          <w:szCs w:val="20"/>
        </w:rPr>
        <w:t>at least 50 full-time employees, including full-time equivalent employees (FTEs)</w:t>
      </w:r>
      <w:r w:rsidRPr="00255CB4">
        <w:rPr>
          <w:rFonts w:ascii="Calibri" w:eastAsia="Times New Roman" w:hAnsi="Calibri" w:cs="Arial"/>
          <w:color w:val="595959"/>
          <w:szCs w:val="20"/>
        </w:rPr>
        <w:t>, on business days during the preceding calendar year. All employers that employ at least 50 full-time employees, including FTEs, are subject to the ACA’s pay or play rules.</w:t>
      </w:r>
    </w:p>
    <w:p w:rsidR="00255CB4" w:rsidRPr="00255CB4" w:rsidRDefault="00255CB4" w:rsidP="007F7168">
      <w:pPr>
        <w:pStyle w:val="Checkbox"/>
      </w:pPr>
      <w:r w:rsidRPr="00255CB4">
        <w:t>Determine your ALE status for 202</w:t>
      </w:r>
      <w:r w:rsidR="00B92DDA">
        <w:t>2</w:t>
      </w:r>
      <w:r w:rsidR="0095450E">
        <w:t>.</w:t>
      </w:r>
    </w:p>
    <w:p w:rsidR="00255CB4" w:rsidRPr="00255CB4" w:rsidRDefault="00255CB4" w:rsidP="007F7168">
      <w:pPr>
        <w:pStyle w:val="Checkbox"/>
      </w:pPr>
      <w:r w:rsidRPr="00255CB4">
        <w:t>Calculate the number of full-time employees for all 12 calendar months of 202</w:t>
      </w:r>
      <w:r w:rsidR="00B92DDA">
        <w:t>1</w:t>
      </w:r>
      <w:r w:rsidRPr="00255CB4">
        <w:t>. A full-time employee is an employee who is employed on average for at least 30 hours of service per week.</w:t>
      </w:r>
    </w:p>
    <w:p w:rsidR="00255CB4" w:rsidRPr="00255CB4" w:rsidRDefault="00255CB4" w:rsidP="007F7168">
      <w:pPr>
        <w:pStyle w:val="Checkbox"/>
      </w:pPr>
      <w:r w:rsidRPr="00255CB4">
        <w:t>Calculate the number of FTEs for all 12 calendar months of 202</w:t>
      </w:r>
      <w:r w:rsidR="00B92DDA">
        <w:t>1</w:t>
      </w:r>
      <w:r w:rsidRPr="00255CB4">
        <w:t xml:space="preserve"> by calculating the aggregate number of hours of service (but not more than 120 hours of service for any employee) for all employees who were not full-time employees for that month and dividing the total hours of service by 120.</w:t>
      </w:r>
    </w:p>
    <w:p w:rsidR="00255CB4" w:rsidRPr="00255CB4" w:rsidRDefault="00255CB4" w:rsidP="007F7168">
      <w:pPr>
        <w:pStyle w:val="Checkbox"/>
      </w:pPr>
      <w:r w:rsidRPr="00255CB4">
        <w:t>Add the number of full-time employees and FTEs (including fractions) calculated above for all 12 calendar months of 202</w:t>
      </w:r>
      <w:r w:rsidR="00B92DDA">
        <w:t>1</w:t>
      </w:r>
      <w:r w:rsidRPr="00255CB4">
        <w:t>.</w:t>
      </w:r>
    </w:p>
    <w:p w:rsidR="00255CB4" w:rsidRPr="00255CB4" w:rsidRDefault="00255CB4" w:rsidP="007F7168">
      <w:pPr>
        <w:pStyle w:val="Checkbox"/>
      </w:pPr>
      <w:r w:rsidRPr="00255CB4">
        <w:t>Add up the monthly numbers from the preceding step and divide the sum by 12. Disregard fractions.</w:t>
      </w:r>
    </w:p>
    <w:p w:rsidR="00255CB4" w:rsidRPr="00255CB4" w:rsidRDefault="00255CB4" w:rsidP="007F7168">
      <w:pPr>
        <w:pStyle w:val="Checkbox"/>
      </w:pPr>
      <w:r w:rsidRPr="00255CB4">
        <w:t>If your result is 50 or more, you are likely an ALE for 202</w:t>
      </w:r>
      <w:r w:rsidR="00B92DDA">
        <w:t>2</w:t>
      </w:r>
      <w:r w:rsidRPr="00255CB4">
        <w:t>.</w:t>
      </w:r>
    </w:p>
    <w:p w:rsidR="00255CB4" w:rsidRPr="00255CB4" w:rsidRDefault="00255CB4" w:rsidP="00255CB4">
      <w:pPr>
        <w:widowControl w:val="0"/>
        <w:spacing w:before="2" w:after="0" w:line="240" w:lineRule="auto"/>
        <w:ind w:left="1080"/>
        <w:rPr>
          <w:rFonts w:cs="Calibri"/>
        </w:rPr>
      </w:pPr>
    </w:p>
    <w:p w:rsidR="00255CB4" w:rsidRPr="00255CB4" w:rsidRDefault="00255CB4" w:rsidP="00255CB4">
      <w:pPr>
        <w:widowControl w:val="0"/>
        <w:tabs>
          <w:tab w:val="left" w:pos="580"/>
        </w:tabs>
        <w:spacing w:after="0" w:line="240" w:lineRule="auto"/>
        <w:outlineLvl w:val="1"/>
        <w:rPr>
          <w:rFonts w:ascii="Calibri" w:hAnsi="Calibri" w:cs="Calibri"/>
          <w:b/>
          <w:bCs/>
          <w:iCs/>
          <w:color w:val="595958"/>
          <w:sz w:val="28"/>
          <w:szCs w:val="28"/>
        </w:rPr>
      </w:pPr>
      <w:r w:rsidRPr="00255CB4">
        <w:rPr>
          <w:rFonts w:ascii="Calibri" w:hAnsi="Calibri" w:cs="Calibri"/>
          <w:b/>
          <w:bCs/>
          <w:iCs/>
          <w:color w:val="595958"/>
          <w:sz w:val="28"/>
          <w:szCs w:val="28"/>
        </w:rPr>
        <w:t>Identify Full-time</w:t>
      </w:r>
      <w:r w:rsidRPr="00255CB4">
        <w:rPr>
          <w:rFonts w:ascii="Calibri" w:hAnsi="Calibri" w:cs="Calibri"/>
          <w:b/>
          <w:bCs/>
          <w:iCs/>
          <w:color w:val="595958"/>
          <w:spacing w:val="-13"/>
          <w:sz w:val="28"/>
          <w:szCs w:val="28"/>
        </w:rPr>
        <w:t xml:space="preserve"> </w:t>
      </w:r>
      <w:r w:rsidRPr="00255CB4">
        <w:rPr>
          <w:rFonts w:ascii="Calibri" w:hAnsi="Calibri" w:cs="Calibri"/>
          <w:b/>
          <w:bCs/>
          <w:iCs/>
          <w:color w:val="595958"/>
          <w:sz w:val="28"/>
          <w:szCs w:val="28"/>
        </w:rPr>
        <w:t>Employees</w:t>
      </w:r>
    </w:p>
    <w:p w:rsidR="00255CB4" w:rsidRPr="00255CB4" w:rsidRDefault="00255CB4" w:rsidP="00255CB4">
      <w:pPr>
        <w:widowControl w:val="0"/>
        <w:tabs>
          <w:tab w:val="left" w:pos="580"/>
        </w:tabs>
        <w:spacing w:after="0" w:line="240" w:lineRule="auto"/>
        <w:ind w:left="220"/>
        <w:outlineLvl w:val="1"/>
        <w:rPr>
          <w:rFonts w:cs="Calibri"/>
          <w:b/>
          <w:bCs/>
          <w:i/>
        </w:rPr>
      </w:pPr>
    </w:p>
    <w:p w:rsidR="00255CB4" w:rsidRPr="00255CB4" w:rsidRDefault="00255CB4" w:rsidP="00255CB4">
      <w:pPr>
        <w:jc w:val="both"/>
        <w:rPr>
          <w:rFonts w:ascii="Calibri" w:eastAsia="Times New Roman" w:hAnsi="Calibri" w:cs="Arial"/>
          <w:szCs w:val="20"/>
        </w:rPr>
      </w:pPr>
      <w:r w:rsidRPr="00255CB4">
        <w:rPr>
          <w:rFonts w:ascii="Calibri" w:eastAsia="Times New Roman" w:hAnsi="Calibri" w:cs="Arial"/>
          <w:color w:val="595959"/>
          <w:szCs w:val="20"/>
        </w:rPr>
        <w:t xml:space="preserve">All full-time employees must be offered affordable minimum value coverage.  A full-time employee is an employee who was employed on average at least 30 hours of service per week. The final regulations generally treat 130 hours of service in a calendar month as the monthly equivalent of 30 hours of service per week. The IRS has provided two methods for determining full-time employee status—the </w:t>
      </w:r>
      <w:r w:rsidRPr="00255CB4">
        <w:rPr>
          <w:rFonts w:ascii="Calibri" w:eastAsia="Times New Roman" w:hAnsi="Calibri" w:cs="Arial"/>
          <w:b/>
          <w:color w:val="595959"/>
          <w:szCs w:val="20"/>
        </w:rPr>
        <w:t>monthly measurement method</w:t>
      </w:r>
      <w:r w:rsidRPr="00255CB4">
        <w:rPr>
          <w:rFonts w:ascii="Calibri" w:eastAsia="Times New Roman" w:hAnsi="Calibri" w:cs="Arial"/>
          <w:color w:val="595959"/>
          <w:szCs w:val="20"/>
        </w:rPr>
        <w:t xml:space="preserve"> and the </w:t>
      </w:r>
      <w:r w:rsidRPr="00255CB4">
        <w:rPr>
          <w:rFonts w:ascii="Calibri" w:eastAsia="Times New Roman" w:hAnsi="Calibri" w:cs="Arial"/>
          <w:b/>
          <w:color w:val="595959"/>
          <w:szCs w:val="20"/>
        </w:rPr>
        <w:t>look-back measurement method.</w:t>
      </w:r>
    </w:p>
    <w:p w:rsidR="00255CB4" w:rsidRPr="00255CB4" w:rsidRDefault="00255CB4" w:rsidP="007F7168">
      <w:pPr>
        <w:pStyle w:val="Checkbox"/>
      </w:pPr>
      <w:r w:rsidRPr="00255CB4">
        <w:t>Determine which method you are going to use to determine full-time</w:t>
      </w:r>
      <w:r w:rsidRPr="00255CB4">
        <w:rPr>
          <w:spacing w:val="-24"/>
        </w:rPr>
        <w:t xml:space="preserve"> </w:t>
      </w:r>
      <w:r w:rsidRPr="00255CB4">
        <w:t>status</w:t>
      </w:r>
    </w:p>
    <w:p w:rsidR="00255CB4" w:rsidRPr="00255CB4" w:rsidRDefault="00255CB4" w:rsidP="007F7168">
      <w:pPr>
        <w:pStyle w:val="Checkbox"/>
      </w:pPr>
      <w:r w:rsidRPr="00255CB4">
        <w:lastRenderedPageBreak/>
        <w:t>Monthly measurement method involves a month-to-month analysis where full-time employees are identified based on their hours of service for each month. This method is not based on averaging hours of service over a prior measurement method. Month-to-month measuring may cause practical difficulties for employers, particularly if there are employees with varying hours or employment schedules, and could result in employees moving in and out of employer coverage on a monthly</w:t>
      </w:r>
      <w:r w:rsidRPr="00255CB4">
        <w:rPr>
          <w:spacing w:val="-10"/>
        </w:rPr>
        <w:t xml:space="preserve"> </w:t>
      </w:r>
      <w:r w:rsidRPr="00255CB4">
        <w:t>basis.</w:t>
      </w:r>
    </w:p>
    <w:p w:rsidR="00255CB4" w:rsidRPr="00255CB4" w:rsidRDefault="00255CB4" w:rsidP="007F7168">
      <w:pPr>
        <w:pStyle w:val="Checkbox"/>
      </w:pPr>
      <w:r w:rsidRPr="00255CB4">
        <w:t>Look-back measurement method allows an employer to determine full-time status based on average hours worked by an employee in a prior period. This method involves a measurement period for counting/averaging hours of service, an administrative period that allows time for enrollment and disenrollment, and a stability period when coverage may need to be provided, depending on an employee’s average hours of service during the measurement</w:t>
      </w:r>
      <w:r w:rsidRPr="00255CB4">
        <w:rPr>
          <w:spacing w:val="-29"/>
        </w:rPr>
        <w:t xml:space="preserve"> </w:t>
      </w:r>
      <w:r w:rsidRPr="00255CB4">
        <w:t>period.</w:t>
      </w:r>
    </w:p>
    <w:p w:rsidR="00255CB4" w:rsidRPr="00255CB4" w:rsidRDefault="00255CB4" w:rsidP="00255CB4">
      <w:pPr>
        <w:widowControl w:val="0"/>
        <w:tabs>
          <w:tab w:val="left" w:pos="460"/>
        </w:tabs>
        <w:spacing w:before="121" w:after="0" w:line="240" w:lineRule="auto"/>
        <w:outlineLvl w:val="1"/>
        <w:rPr>
          <w:rFonts w:ascii="Calibri" w:hAnsi="Calibri" w:cs="Calibri"/>
          <w:b/>
          <w:bCs/>
          <w:iCs/>
          <w:sz w:val="28"/>
          <w:szCs w:val="28"/>
        </w:rPr>
      </w:pPr>
      <w:r w:rsidRPr="00255CB4">
        <w:rPr>
          <w:rFonts w:ascii="Calibri" w:hAnsi="Calibri" w:cs="Calibri"/>
          <w:b/>
          <w:bCs/>
          <w:iCs/>
          <w:color w:val="595958"/>
          <w:sz w:val="28"/>
          <w:szCs w:val="28"/>
        </w:rPr>
        <w:t>Offer of</w:t>
      </w:r>
      <w:r w:rsidRPr="00255CB4">
        <w:rPr>
          <w:rFonts w:ascii="Calibri" w:hAnsi="Calibri" w:cs="Calibri"/>
          <w:b/>
          <w:bCs/>
          <w:iCs/>
          <w:color w:val="595958"/>
          <w:spacing w:val="-5"/>
          <w:sz w:val="28"/>
          <w:szCs w:val="28"/>
        </w:rPr>
        <w:t xml:space="preserve"> </w:t>
      </w:r>
      <w:r w:rsidRPr="00255CB4">
        <w:rPr>
          <w:rFonts w:ascii="Calibri" w:hAnsi="Calibri" w:cs="Calibri"/>
          <w:b/>
          <w:bCs/>
          <w:iCs/>
          <w:color w:val="595958"/>
          <w:sz w:val="28"/>
          <w:szCs w:val="28"/>
        </w:rPr>
        <w:t>Coverage</w:t>
      </w:r>
    </w:p>
    <w:p w:rsidR="00255CB4" w:rsidRPr="00255CB4" w:rsidRDefault="00255CB4" w:rsidP="00255CB4">
      <w:pPr>
        <w:jc w:val="both"/>
        <w:rPr>
          <w:rFonts w:ascii="Calibri" w:eastAsia="Times New Roman" w:hAnsi="Calibri" w:cs="Arial"/>
          <w:szCs w:val="20"/>
        </w:rPr>
      </w:pPr>
      <w:r w:rsidRPr="00255CB4">
        <w:rPr>
          <w:rFonts w:ascii="Calibri" w:eastAsia="Times New Roman" w:hAnsi="Calibri" w:cs="Arial"/>
          <w:color w:val="595959"/>
          <w:szCs w:val="20"/>
        </w:rPr>
        <w:t xml:space="preserve">An ALE may be liable for a penalty under the pay or play rules if it does not offer coverage to “substantially all” </w:t>
      </w:r>
      <w:r w:rsidRPr="00255CB4">
        <w:rPr>
          <w:rFonts w:ascii="Calibri" w:eastAsia="Times New Roman" w:hAnsi="Calibri" w:cs="Arial"/>
          <w:b/>
          <w:color w:val="595959"/>
          <w:szCs w:val="20"/>
        </w:rPr>
        <w:t>(95%)</w:t>
      </w:r>
      <w:r w:rsidRPr="00255CB4">
        <w:rPr>
          <w:rFonts w:ascii="Calibri" w:eastAsia="Times New Roman" w:hAnsi="Calibri" w:cs="Arial"/>
          <w:color w:val="595959"/>
          <w:szCs w:val="20"/>
        </w:rPr>
        <w:t xml:space="preserve"> full-time employees (and dependents) and any one of its full-time employees receives a premium tax credit or cost-sharing reduction for coverage purchased through an Exchange. Employees who are offered health coverage that is </w:t>
      </w:r>
      <w:r w:rsidRPr="00255CB4">
        <w:rPr>
          <w:rFonts w:ascii="Calibri" w:eastAsia="Times New Roman" w:hAnsi="Calibri" w:cs="Arial"/>
          <w:b/>
          <w:color w:val="595959"/>
          <w:szCs w:val="20"/>
        </w:rPr>
        <w:t>affordable</w:t>
      </w:r>
      <w:r w:rsidRPr="00255CB4">
        <w:rPr>
          <w:rFonts w:ascii="Calibri" w:eastAsia="Times New Roman" w:hAnsi="Calibri" w:cs="Arial"/>
          <w:color w:val="595959"/>
          <w:szCs w:val="20"/>
        </w:rPr>
        <w:t xml:space="preserve"> and provides </w:t>
      </w:r>
      <w:r w:rsidRPr="00255CB4">
        <w:rPr>
          <w:rFonts w:ascii="Calibri" w:eastAsia="Times New Roman" w:hAnsi="Calibri" w:cs="Arial"/>
          <w:b/>
          <w:color w:val="595959"/>
          <w:szCs w:val="20"/>
        </w:rPr>
        <w:t xml:space="preserve">minimum value </w:t>
      </w:r>
      <w:r w:rsidRPr="00255CB4">
        <w:rPr>
          <w:rFonts w:ascii="Calibri" w:eastAsia="Times New Roman" w:hAnsi="Calibri" w:cs="Arial"/>
          <w:color w:val="595959"/>
          <w:szCs w:val="20"/>
        </w:rPr>
        <w:t>are generally not eligible for these Exchange subsidies.</w:t>
      </w:r>
    </w:p>
    <w:p w:rsidR="00255CB4" w:rsidRPr="00255CB4" w:rsidRDefault="00255CB4" w:rsidP="007F7168">
      <w:pPr>
        <w:pStyle w:val="Checkbox"/>
      </w:pPr>
      <w:r w:rsidRPr="00255CB4">
        <w:t>Offer minimum essential coverage to all full-time</w:t>
      </w:r>
      <w:r w:rsidRPr="00255CB4">
        <w:rPr>
          <w:spacing w:val="-22"/>
        </w:rPr>
        <w:t xml:space="preserve"> </w:t>
      </w:r>
      <w:r w:rsidRPr="00255CB4">
        <w:t>employees</w:t>
      </w:r>
    </w:p>
    <w:p w:rsidR="00255CB4" w:rsidRPr="00255CB4" w:rsidRDefault="00255CB4" w:rsidP="007F7168">
      <w:pPr>
        <w:pStyle w:val="Checkbox"/>
      </w:pPr>
      <w:r w:rsidRPr="00255CB4">
        <w:t>Ensure that at least one of those plans provides minimum value (</w:t>
      </w:r>
      <w:r w:rsidRPr="00255CB4">
        <w:rPr>
          <w:b/>
        </w:rPr>
        <w:t xml:space="preserve">60% </w:t>
      </w:r>
      <w:r w:rsidRPr="00255CB4">
        <w:t>actuarial</w:t>
      </w:r>
      <w:r w:rsidRPr="00255CB4">
        <w:rPr>
          <w:spacing w:val="-28"/>
        </w:rPr>
        <w:t xml:space="preserve"> </w:t>
      </w:r>
      <w:r w:rsidRPr="00255CB4">
        <w:t>value)</w:t>
      </w:r>
    </w:p>
    <w:p w:rsidR="00255CB4" w:rsidRPr="00255CB4" w:rsidRDefault="00255CB4" w:rsidP="007F7168">
      <w:pPr>
        <w:pStyle w:val="Checkbox"/>
      </w:pPr>
      <w:r w:rsidRPr="00255CB4">
        <w:t xml:space="preserve">Ensure that the minimum value plan offered is affordable to all full-time employees by ensuring that the employee contribution for the lowest cost single minimum value plan does not exceed </w:t>
      </w:r>
      <w:r w:rsidRPr="00255CB4">
        <w:rPr>
          <w:b/>
        </w:rPr>
        <w:t>9.</w:t>
      </w:r>
      <w:r w:rsidR="00B92DDA">
        <w:rPr>
          <w:b/>
        </w:rPr>
        <w:t>61</w:t>
      </w:r>
      <w:r w:rsidRPr="00255CB4">
        <w:rPr>
          <w:b/>
        </w:rPr>
        <w:t xml:space="preserve">% </w:t>
      </w:r>
      <w:r w:rsidRPr="00255CB4">
        <w:t>of an employee’s earnings based on the employee’s W-2 wages, the employee’s rate of pay, or the federal poverty level for a single</w:t>
      </w:r>
      <w:r w:rsidRPr="00255CB4">
        <w:rPr>
          <w:spacing w:val="-18"/>
        </w:rPr>
        <w:t xml:space="preserve"> </w:t>
      </w:r>
      <w:r w:rsidRPr="00255CB4">
        <w:t>individual.</w:t>
      </w:r>
    </w:p>
    <w:p w:rsidR="00255CB4" w:rsidRPr="00255CB4" w:rsidRDefault="00255CB4" w:rsidP="00255CB4">
      <w:pPr>
        <w:widowControl w:val="0"/>
        <w:tabs>
          <w:tab w:val="left" w:pos="460"/>
        </w:tabs>
        <w:spacing w:after="0" w:line="240" w:lineRule="auto"/>
        <w:outlineLvl w:val="1"/>
        <w:rPr>
          <w:rFonts w:ascii="Calibri" w:hAnsi="Calibri" w:cs="Calibri"/>
          <w:b/>
          <w:bCs/>
          <w:iCs/>
          <w:sz w:val="28"/>
          <w:szCs w:val="28"/>
        </w:rPr>
      </w:pPr>
      <w:r w:rsidRPr="00255CB4">
        <w:rPr>
          <w:rFonts w:ascii="Calibri" w:hAnsi="Calibri" w:cs="Calibri"/>
          <w:b/>
          <w:bCs/>
          <w:iCs/>
          <w:color w:val="595958"/>
          <w:sz w:val="28"/>
          <w:szCs w:val="28"/>
        </w:rPr>
        <w:t>Reporting of</w:t>
      </w:r>
      <w:r w:rsidRPr="00255CB4">
        <w:rPr>
          <w:rFonts w:ascii="Calibri" w:hAnsi="Calibri" w:cs="Calibri"/>
          <w:b/>
          <w:bCs/>
          <w:iCs/>
          <w:color w:val="595958"/>
          <w:spacing w:val="-4"/>
          <w:sz w:val="28"/>
          <w:szCs w:val="28"/>
        </w:rPr>
        <w:t xml:space="preserve"> </w:t>
      </w:r>
      <w:r w:rsidRPr="00255CB4">
        <w:rPr>
          <w:rFonts w:ascii="Calibri" w:hAnsi="Calibri" w:cs="Calibri"/>
          <w:b/>
          <w:bCs/>
          <w:iCs/>
          <w:color w:val="595958"/>
          <w:sz w:val="28"/>
          <w:szCs w:val="28"/>
        </w:rPr>
        <w:t>Coverage</w:t>
      </w:r>
    </w:p>
    <w:p w:rsidR="00255CB4" w:rsidRPr="00255CB4" w:rsidRDefault="00255CB4" w:rsidP="00255CB4">
      <w:pPr>
        <w:jc w:val="both"/>
        <w:rPr>
          <w:rFonts w:ascii="Calibri" w:eastAsia="Times New Roman" w:hAnsi="Calibri" w:cs="Arial"/>
          <w:color w:val="595959"/>
          <w:szCs w:val="20"/>
        </w:rPr>
      </w:pPr>
      <w:r w:rsidRPr="00255CB4">
        <w:rPr>
          <w:rFonts w:ascii="Calibri" w:eastAsia="Times New Roman" w:hAnsi="Calibri" w:cs="Arial"/>
          <w:color w:val="595959"/>
          <w:szCs w:val="20"/>
        </w:rPr>
        <w:t xml:space="preserve">The ACA requires </w:t>
      </w:r>
      <w:proofErr w:type="spellStart"/>
      <w:r w:rsidRPr="00255CB4">
        <w:rPr>
          <w:rFonts w:ascii="Calibri" w:eastAsia="Times New Roman" w:hAnsi="Calibri" w:cs="Arial"/>
          <w:color w:val="595959"/>
          <w:szCs w:val="20"/>
        </w:rPr>
        <w:t>ALEs</w:t>
      </w:r>
      <w:proofErr w:type="spellEnd"/>
      <w:r w:rsidRPr="00255CB4">
        <w:rPr>
          <w:rFonts w:ascii="Calibri" w:eastAsia="Times New Roman" w:hAnsi="Calibri" w:cs="Arial"/>
          <w:color w:val="595959"/>
          <w:szCs w:val="20"/>
        </w:rPr>
        <w:t xml:space="preserve"> to report information to the IRS and to employees regarding the employer- sponsored health coverage on Form 1095-C. The IRS will use the information that </w:t>
      </w:r>
      <w:proofErr w:type="spellStart"/>
      <w:r w:rsidRPr="00255CB4">
        <w:rPr>
          <w:rFonts w:ascii="Calibri" w:eastAsia="Times New Roman" w:hAnsi="Calibri" w:cs="Arial"/>
          <w:color w:val="595959"/>
          <w:szCs w:val="20"/>
        </w:rPr>
        <w:t>ALEs</w:t>
      </w:r>
      <w:proofErr w:type="spellEnd"/>
      <w:r w:rsidRPr="00255CB4">
        <w:rPr>
          <w:rFonts w:ascii="Calibri" w:eastAsia="Times New Roman" w:hAnsi="Calibri" w:cs="Arial"/>
          <w:color w:val="595959"/>
          <w:szCs w:val="20"/>
        </w:rPr>
        <w:t xml:space="preserve"> report to verify employer-sponsored coverage and to administer the employer shared responsibility provisions (</w:t>
      </w:r>
      <w:r w:rsidRPr="00255CB4">
        <w:rPr>
          <w:rFonts w:ascii="Calibri" w:eastAsia="Times New Roman" w:hAnsi="Calibri" w:cs="Arial"/>
          <w:b/>
          <w:color w:val="595959"/>
          <w:szCs w:val="20"/>
        </w:rPr>
        <w:t>Code Section 6056).</w:t>
      </w:r>
    </w:p>
    <w:p w:rsidR="00255CB4" w:rsidRPr="00255CB4" w:rsidRDefault="00255CB4" w:rsidP="00255CB4">
      <w:pPr>
        <w:jc w:val="both"/>
        <w:rPr>
          <w:rFonts w:ascii="Calibri" w:eastAsia="Times New Roman" w:hAnsi="Calibri" w:cs="Arial"/>
          <w:b/>
          <w:szCs w:val="20"/>
        </w:rPr>
      </w:pPr>
      <w:r w:rsidRPr="00255CB4">
        <w:rPr>
          <w:rFonts w:ascii="Calibri" w:eastAsia="Times New Roman" w:hAnsi="Calibri" w:cs="Arial"/>
          <w:color w:val="595959"/>
          <w:szCs w:val="20"/>
        </w:rPr>
        <w:t xml:space="preserve">In addition, the ACA requires every health insurance issuer, </w:t>
      </w:r>
      <w:r w:rsidRPr="00255CB4">
        <w:rPr>
          <w:rFonts w:ascii="Calibri" w:eastAsia="Times New Roman" w:hAnsi="Calibri" w:cs="Arial"/>
          <w:i/>
          <w:color w:val="595959"/>
          <w:szCs w:val="20"/>
        </w:rPr>
        <w:t>sponsor of a self-insured health plan</w:t>
      </w:r>
      <w:r w:rsidRPr="00255CB4">
        <w:rPr>
          <w:rFonts w:ascii="Calibri" w:eastAsia="Times New Roman" w:hAnsi="Calibri" w:cs="Arial"/>
          <w:color w:val="595959"/>
          <w:szCs w:val="20"/>
        </w:rPr>
        <w:t>, government agency that administers government-sponsored health insurance programs and any other entity that provides minimum essential coverage (</w:t>
      </w:r>
      <w:proofErr w:type="spellStart"/>
      <w:r w:rsidRPr="00255CB4">
        <w:rPr>
          <w:rFonts w:ascii="Calibri" w:eastAsia="Times New Roman" w:hAnsi="Calibri" w:cs="Arial"/>
          <w:color w:val="595959"/>
          <w:szCs w:val="20"/>
        </w:rPr>
        <w:t>MEC</w:t>
      </w:r>
      <w:proofErr w:type="spellEnd"/>
      <w:r w:rsidRPr="00255CB4">
        <w:rPr>
          <w:rFonts w:ascii="Calibri" w:eastAsia="Times New Roman" w:hAnsi="Calibri" w:cs="Arial"/>
          <w:color w:val="595959"/>
          <w:szCs w:val="20"/>
        </w:rPr>
        <w:t>) to file an annual return with the IRS and individuals reporting information for each individual who is provided with this coverage (</w:t>
      </w:r>
      <w:r w:rsidRPr="00255CB4">
        <w:rPr>
          <w:rFonts w:ascii="Calibri" w:eastAsia="Times New Roman" w:hAnsi="Calibri" w:cs="Arial"/>
          <w:b/>
          <w:color w:val="595959"/>
          <w:szCs w:val="20"/>
        </w:rPr>
        <w:t>Code Section 6055).</w:t>
      </w:r>
    </w:p>
    <w:p w:rsidR="00255CB4" w:rsidRPr="00255CB4" w:rsidRDefault="00255CB4" w:rsidP="004D5B03">
      <w:pPr>
        <w:pStyle w:val="Checkbox"/>
      </w:pPr>
      <w:r w:rsidRPr="00255CB4">
        <w:t>Determine which reporting requirements apply to you and your health</w:t>
      </w:r>
      <w:r w:rsidRPr="00255CB4">
        <w:rPr>
          <w:spacing w:val="-26"/>
        </w:rPr>
        <w:t xml:space="preserve"> </w:t>
      </w:r>
      <w:r w:rsidRPr="00255CB4">
        <w:t>plans</w:t>
      </w:r>
    </w:p>
    <w:p w:rsidR="00255CB4" w:rsidRPr="00255CB4" w:rsidRDefault="00255CB4" w:rsidP="004D5B03">
      <w:pPr>
        <w:pStyle w:val="Checkbox"/>
      </w:pPr>
      <w:r w:rsidRPr="00255CB4">
        <w:t>Determine the information you will need for reporting and coordinate internal and external resources to help compile the required data for the 1094-C and</w:t>
      </w:r>
      <w:r w:rsidRPr="00255CB4">
        <w:rPr>
          <w:spacing w:val="-28"/>
        </w:rPr>
        <w:t xml:space="preserve"> </w:t>
      </w:r>
      <w:r w:rsidRPr="00255CB4">
        <w:t>1095-C</w:t>
      </w:r>
    </w:p>
    <w:p w:rsidR="00255CB4" w:rsidRPr="00255CB4" w:rsidRDefault="00255CB4" w:rsidP="004D5B03">
      <w:pPr>
        <w:pStyle w:val="Checkbox"/>
      </w:pPr>
      <w:r w:rsidRPr="00255CB4">
        <w:t>Complete the appropriate forms for the 202</w:t>
      </w:r>
      <w:r w:rsidR="008C5C05">
        <w:t>1</w:t>
      </w:r>
      <w:r w:rsidRPr="00255CB4">
        <w:t xml:space="preserve"> reporting year. Furnish statements to individuals on or before January</w:t>
      </w:r>
      <w:r w:rsidR="00084558">
        <w:t xml:space="preserve"> 31</w:t>
      </w:r>
      <w:r w:rsidRPr="00255CB4">
        <w:t>, 202</w:t>
      </w:r>
      <w:r w:rsidR="008C5C05">
        <w:t>2</w:t>
      </w:r>
      <w:r w:rsidRPr="00255CB4">
        <w:t xml:space="preserve">, and file returns with the IRS on or before February </w:t>
      </w:r>
      <w:r w:rsidR="002850C6">
        <w:t>28</w:t>
      </w:r>
      <w:r w:rsidRPr="00255CB4">
        <w:t>, 202</w:t>
      </w:r>
      <w:r w:rsidR="008C5C05">
        <w:t>2</w:t>
      </w:r>
      <w:r w:rsidRPr="00255CB4">
        <w:t xml:space="preserve"> (March 31, 202</w:t>
      </w:r>
      <w:r w:rsidR="008C5C05">
        <w:t>2</w:t>
      </w:r>
      <w:r w:rsidRPr="00255CB4">
        <w:t>, if filing</w:t>
      </w:r>
      <w:r w:rsidRPr="00255CB4">
        <w:rPr>
          <w:spacing w:val="-19"/>
        </w:rPr>
        <w:t xml:space="preserve"> </w:t>
      </w:r>
      <w:r w:rsidRPr="00255CB4">
        <w:t>electronically).</w:t>
      </w:r>
    </w:p>
    <w:p w:rsidR="00255CB4" w:rsidRPr="00255CB4" w:rsidRDefault="00255CB4" w:rsidP="00255CB4">
      <w:pPr>
        <w:widowControl w:val="0"/>
        <w:tabs>
          <w:tab w:val="left" w:pos="580"/>
        </w:tabs>
        <w:spacing w:after="0" w:line="240" w:lineRule="auto"/>
        <w:outlineLvl w:val="1"/>
        <w:rPr>
          <w:rFonts w:ascii="Calibri" w:hAnsi="Calibri" w:cs="Calibri"/>
          <w:b/>
          <w:bCs/>
          <w:iCs/>
          <w:sz w:val="28"/>
          <w:szCs w:val="28"/>
        </w:rPr>
      </w:pPr>
      <w:r w:rsidRPr="00255CB4">
        <w:rPr>
          <w:rFonts w:ascii="Calibri" w:hAnsi="Calibri" w:cs="Calibri"/>
          <w:b/>
          <w:bCs/>
          <w:iCs/>
          <w:color w:val="595958"/>
          <w:sz w:val="28"/>
          <w:szCs w:val="28"/>
        </w:rPr>
        <w:t>Comparative Effectiveness Research Fee</w:t>
      </w:r>
      <w:r w:rsidRPr="00255CB4">
        <w:rPr>
          <w:rFonts w:ascii="Calibri" w:hAnsi="Calibri" w:cs="Calibri"/>
          <w:b/>
          <w:bCs/>
          <w:iCs/>
          <w:color w:val="595958"/>
          <w:spacing w:val="-14"/>
          <w:sz w:val="28"/>
          <w:szCs w:val="28"/>
        </w:rPr>
        <w:t xml:space="preserve"> </w:t>
      </w:r>
      <w:r w:rsidRPr="00255CB4">
        <w:rPr>
          <w:rFonts w:ascii="Calibri" w:hAnsi="Calibri" w:cs="Calibri"/>
          <w:b/>
          <w:bCs/>
          <w:iCs/>
          <w:color w:val="595958"/>
          <w:sz w:val="28"/>
          <w:szCs w:val="28"/>
        </w:rPr>
        <w:t>(</w:t>
      </w:r>
      <w:proofErr w:type="spellStart"/>
      <w:r w:rsidRPr="00255CB4">
        <w:rPr>
          <w:rFonts w:ascii="Calibri" w:hAnsi="Calibri" w:cs="Calibri"/>
          <w:b/>
          <w:bCs/>
          <w:iCs/>
          <w:color w:val="595958"/>
          <w:sz w:val="28"/>
          <w:szCs w:val="28"/>
        </w:rPr>
        <w:t>PCORI</w:t>
      </w:r>
      <w:proofErr w:type="spellEnd"/>
      <w:r w:rsidRPr="00255CB4">
        <w:rPr>
          <w:rFonts w:ascii="Calibri" w:hAnsi="Calibri" w:cs="Calibri"/>
          <w:b/>
          <w:bCs/>
          <w:iCs/>
          <w:color w:val="595958"/>
          <w:sz w:val="28"/>
          <w:szCs w:val="28"/>
        </w:rPr>
        <w:t>)</w:t>
      </w:r>
    </w:p>
    <w:p w:rsidR="00255CB4" w:rsidRPr="00255CB4" w:rsidRDefault="00255CB4" w:rsidP="00255CB4">
      <w:pPr>
        <w:jc w:val="both"/>
        <w:rPr>
          <w:rFonts w:ascii="Calibri" w:eastAsia="Times New Roman" w:hAnsi="Calibri" w:cs="Arial"/>
          <w:color w:val="595959"/>
          <w:szCs w:val="20"/>
        </w:rPr>
      </w:pPr>
      <w:r w:rsidRPr="00255CB4">
        <w:rPr>
          <w:rFonts w:ascii="Calibri" w:eastAsia="Times New Roman" w:hAnsi="Calibri" w:cs="Arial"/>
          <w:color w:val="595959"/>
          <w:szCs w:val="20"/>
        </w:rPr>
        <w:t>Sponsors of self-funded plans and health insurance issuers of fully insured plans are required to pay a fee each year, by July 31st, to fund comparative effectiveness research. Fees will increase to $2.</w:t>
      </w:r>
      <w:r w:rsidR="008C5C05">
        <w:rPr>
          <w:rFonts w:ascii="Calibri" w:eastAsia="Times New Roman" w:hAnsi="Calibri" w:cs="Arial"/>
          <w:color w:val="595959"/>
          <w:szCs w:val="20"/>
        </w:rPr>
        <w:t>66</w:t>
      </w:r>
      <w:r w:rsidRPr="00255CB4">
        <w:rPr>
          <w:rFonts w:ascii="Calibri" w:eastAsia="Times New Roman" w:hAnsi="Calibri" w:cs="Arial"/>
          <w:color w:val="595959"/>
          <w:szCs w:val="20"/>
        </w:rPr>
        <w:t xml:space="preserve"> per covered life in 202</w:t>
      </w:r>
      <w:r w:rsidR="00BD25E0">
        <w:rPr>
          <w:rFonts w:ascii="Calibri" w:eastAsia="Times New Roman" w:hAnsi="Calibri" w:cs="Arial"/>
          <w:color w:val="595959"/>
          <w:szCs w:val="20"/>
        </w:rPr>
        <w:t>2</w:t>
      </w:r>
      <w:r w:rsidRPr="00255CB4">
        <w:rPr>
          <w:rFonts w:ascii="Calibri" w:eastAsia="Times New Roman" w:hAnsi="Calibri" w:cs="Arial"/>
          <w:color w:val="595959"/>
          <w:szCs w:val="20"/>
        </w:rPr>
        <w:t xml:space="preserve"> and are next due July 31, 202</w:t>
      </w:r>
      <w:r w:rsidR="00BD25E0">
        <w:rPr>
          <w:rFonts w:ascii="Calibri" w:eastAsia="Times New Roman" w:hAnsi="Calibri" w:cs="Arial"/>
          <w:color w:val="595959"/>
          <w:szCs w:val="20"/>
        </w:rPr>
        <w:t>2</w:t>
      </w:r>
      <w:r w:rsidRPr="00255CB4">
        <w:rPr>
          <w:rFonts w:ascii="Calibri" w:eastAsia="Times New Roman" w:hAnsi="Calibri" w:cs="Arial"/>
          <w:color w:val="595959"/>
          <w:szCs w:val="20"/>
        </w:rPr>
        <w:t>.</w:t>
      </w:r>
    </w:p>
    <w:p w:rsidR="00255CB4" w:rsidRPr="00255CB4" w:rsidRDefault="00255CB4" w:rsidP="00255CB4">
      <w:pPr>
        <w:widowControl w:val="0"/>
        <w:spacing w:before="10" w:after="0" w:line="240" w:lineRule="auto"/>
        <w:rPr>
          <w:rFonts w:cs="Calibri"/>
        </w:rPr>
      </w:pPr>
    </w:p>
    <w:p w:rsidR="00255CB4" w:rsidRPr="00255CB4" w:rsidRDefault="00255CB4" w:rsidP="00255CB4">
      <w:pPr>
        <w:widowControl w:val="0"/>
        <w:tabs>
          <w:tab w:val="left" w:pos="580"/>
        </w:tabs>
        <w:spacing w:after="0" w:line="240" w:lineRule="auto"/>
        <w:outlineLvl w:val="1"/>
        <w:rPr>
          <w:rFonts w:cstheme="minorHAnsi"/>
          <w:b/>
          <w:bCs/>
          <w:iCs/>
          <w:sz w:val="28"/>
          <w:szCs w:val="28"/>
        </w:rPr>
      </w:pPr>
      <w:r w:rsidRPr="00255CB4">
        <w:rPr>
          <w:rFonts w:cstheme="minorHAnsi"/>
          <w:b/>
          <w:bCs/>
          <w:iCs/>
          <w:color w:val="595958"/>
          <w:sz w:val="28"/>
          <w:szCs w:val="28"/>
        </w:rPr>
        <w:t>W-2</w:t>
      </w:r>
      <w:r w:rsidRPr="00255CB4">
        <w:rPr>
          <w:rFonts w:cstheme="minorHAnsi"/>
          <w:b/>
          <w:bCs/>
          <w:iCs/>
          <w:color w:val="595958"/>
          <w:spacing w:val="-5"/>
          <w:sz w:val="28"/>
          <w:szCs w:val="28"/>
        </w:rPr>
        <w:t xml:space="preserve"> </w:t>
      </w:r>
      <w:r w:rsidRPr="00255CB4">
        <w:rPr>
          <w:rFonts w:cstheme="minorHAnsi"/>
          <w:b/>
          <w:bCs/>
          <w:iCs/>
          <w:color w:val="595958"/>
          <w:sz w:val="28"/>
          <w:szCs w:val="28"/>
        </w:rPr>
        <w:t>Reporting</w:t>
      </w:r>
    </w:p>
    <w:p w:rsidR="00255CB4" w:rsidRPr="00255CB4" w:rsidRDefault="00255CB4" w:rsidP="00255CB4">
      <w:pPr>
        <w:jc w:val="both"/>
        <w:rPr>
          <w:rFonts w:ascii="Calibri" w:eastAsia="Times New Roman" w:hAnsi="Calibri" w:cs="Arial"/>
          <w:szCs w:val="20"/>
        </w:rPr>
      </w:pPr>
      <w:r w:rsidRPr="00255CB4">
        <w:rPr>
          <w:rFonts w:ascii="Calibri" w:eastAsia="Times New Roman" w:hAnsi="Calibri" w:cs="Arial"/>
          <w:color w:val="595959"/>
          <w:szCs w:val="20"/>
        </w:rPr>
        <w:t>Healthcare Reform requires employers to report the aggregate cost of employer-sponsored group health plan coverage on their employees’ Forms W-2. This reporting requirement was originally effective for the 2011 tax year. However, the IRS later made reporting optional for 2011 for all employers.</w:t>
      </w:r>
    </w:p>
    <w:p w:rsidR="00255CB4" w:rsidRDefault="00255CB4" w:rsidP="004D5B03">
      <w:pPr>
        <w:jc w:val="both"/>
      </w:pPr>
      <w:r w:rsidRPr="00255CB4">
        <w:rPr>
          <w:rFonts w:ascii="Calibri" w:eastAsia="Times New Roman" w:hAnsi="Calibri" w:cs="Arial"/>
          <w:color w:val="595959"/>
          <w:szCs w:val="20"/>
        </w:rPr>
        <w:t>The IRS further delayed the reporting requirement for small employers (those that file fewer than 250 Forms W-2) by making it optional for these employers until further guidance is issued. For the larger employers, the reporting requirement was mandatory for the 2012 Forms W-2 and continues.</w:t>
      </w:r>
    </w:p>
    <w:p w:rsidR="00255CB4" w:rsidRPr="00B56C1A" w:rsidRDefault="00255CB4" w:rsidP="00255CB4">
      <w:pPr>
        <w:pStyle w:val="Checkbox"/>
        <w:numPr>
          <w:ilvl w:val="0"/>
          <w:numId w:val="0"/>
        </w:numPr>
        <w:ind w:left="540" w:hanging="450"/>
      </w:pPr>
    </w:p>
    <w:tbl>
      <w:tblPr>
        <w:tblW w:w="0" w:type="auto"/>
        <w:shd w:val="clear" w:color="auto" w:fill="4884A2"/>
        <w:tblLook w:val="04A0" w:firstRow="1" w:lastRow="0" w:firstColumn="1" w:lastColumn="0" w:noHBand="0" w:noVBand="1"/>
      </w:tblPr>
      <w:tblGrid>
        <w:gridCol w:w="10800"/>
      </w:tblGrid>
      <w:tr w:rsidR="00034859" w:rsidTr="00A51511">
        <w:tc>
          <w:tcPr>
            <w:tcW w:w="10800" w:type="dxa"/>
            <w:shd w:val="clear" w:color="auto" w:fill="0B406B"/>
            <w:vAlign w:val="center"/>
          </w:tcPr>
          <w:p w:rsidR="00B56C1A" w:rsidRPr="00B40915" w:rsidRDefault="00713439" w:rsidP="001D6911">
            <w:pPr>
              <w:pStyle w:val="TableHeader"/>
            </w:pPr>
            <w:r>
              <w:t>ACA DISCLOSURE REQUIREMENTS</w:t>
            </w:r>
          </w:p>
        </w:tc>
      </w:tr>
    </w:tbl>
    <w:p w:rsidR="00B56C1A" w:rsidRDefault="00713439" w:rsidP="00B56C1A">
      <w:pPr>
        <w:pStyle w:val="SubHeader"/>
      </w:pPr>
      <w:r>
        <w:t>Summary of Benefits and Coverage</w:t>
      </w:r>
    </w:p>
    <w:p w:rsidR="00B56C1A" w:rsidRDefault="00713439" w:rsidP="00B56C1A">
      <w:pPr>
        <w:pStyle w:val="BodyText"/>
      </w:pPr>
      <w:r>
        <w:t xml:space="preserve">The ACA requires health plans and health insurance issuers to provide </w:t>
      </w:r>
      <w:r w:rsidR="00A209FF">
        <w:t xml:space="preserve">an SBC </w:t>
      </w:r>
      <w:r>
        <w:t xml:space="preserve">to applicants and enrollees to help them understand their coverage and make coverage decisions. Plans and issuers must provide the SBC to participants and beneficiaries who enroll or reenroll during an open enrollment period. The SBC must </w:t>
      </w:r>
      <w:r w:rsidR="00A209FF">
        <w:t xml:space="preserve">also </w:t>
      </w:r>
      <w:r>
        <w:t>be provided to participants and beneficiaries who enroll other than through an open enrollment period (including those newly eligible for coverage and special enrollees).</w:t>
      </w:r>
    </w:p>
    <w:p w:rsidR="00B56C1A" w:rsidRDefault="00713439" w:rsidP="00B56C1A">
      <w:pPr>
        <w:pStyle w:val="BodyText"/>
      </w:pPr>
      <w:r w:rsidRPr="004B4373">
        <w:t xml:space="preserve">On Nov. 8, 2019, the Departments of Labor (DOL) and Health and Human Services (HHS) issued an </w:t>
      </w:r>
      <w:hyperlink r:id="rId17" w:anchor="Summary%20of%20Benefits%20and%20Coverage%20and%20Uniform%20Glossary" w:history="1">
        <w:r w:rsidRPr="004B4373">
          <w:rPr>
            <w:rStyle w:val="Hyperlink"/>
          </w:rPr>
          <w:t>updated template and related materials</w:t>
        </w:r>
      </w:hyperlink>
      <w:r w:rsidRPr="004B4373">
        <w:t xml:space="preserve"> for the SBC. These materials are required to be used for plan years beginning on or after Jan. 1, 2021. </w:t>
      </w:r>
      <w:r w:rsidRPr="004B4373">
        <w:rPr>
          <w:b/>
        </w:rPr>
        <w:t xml:space="preserve">This </w:t>
      </w:r>
      <w:r w:rsidR="00A209FF">
        <w:rPr>
          <w:b/>
        </w:rPr>
        <w:t xml:space="preserve">requirement </w:t>
      </w:r>
      <w:r w:rsidRPr="004B4373">
        <w:rPr>
          <w:b/>
        </w:rPr>
        <w:t>means that the updated template must be used for the 202</w:t>
      </w:r>
      <w:r>
        <w:rPr>
          <w:b/>
        </w:rPr>
        <w:t>2</w:t>
      </w:r>
      <w:r w:rsidRPr="004B4373">
        <w:rPr>
          <w:b/>
        </w:rPr>
        <w:t xml:space="preserve"> plan year’s open enrollment period</w:t>
      </w:r>
      <w:r w:rsidRPr="004B4373">
        <w:t>.</w:t>
      </w:r>
    </w:p>
    <w:p w:rsidR="00B56C1A" w:rsidRDefault="00713439" w:rsidP="00B56C1A">
      <w:pPr>
        <w:pStyle w:val="Checkbox"/>
      </w:pPr>
      <w:r>
        <w:t>In connection with a plan’s 2022</w:t>
      </w:r>
      <w:r w:rsidRPr="004456BB">
        <w:t xml:space="preserve"> open enrollment period, </w:t>
      </w:r>
      <w:r>
        <w:t>use the updated SBC template and related materials. T</w:t>
      </w:r>
      <w:r w:rsidRPr="004456BB">
        <w:t xml:space="preserve">he SBC should be included with the plan’s application materials. If coverage automatically renews for current participants, the SBC must </w:t>
      </w:r>
      <w:r w:rsidRPr="00B56C1A">
        <w:t>generally</w:t>
      </w:r>
      <w:r w:rsidRPr="004456BB">
        <w:t xml:space="preserve"> be provided no later than 30 days before the</w:t>
      </w:r>
      <w:r>
        <w:t xml:space="preserve"> beginning of the new plan year.</w:t>
      </w:r>
    </w:p>
    <w:p w:rsidR="00B56C1A" w:rsidRDefault="00713439" w:rsidP="00B56C1A">
      <w:pPr>
        <w:pStyle w:val="Checkbox"/>
      </w:pPr>
      <w:r>
        <w:t>For self-funded plans, the plan administrator is responsible for providing the SBC. For insured plans, both the plan and the issuer are obligated to provide the SBC</w:t>
      </w:r>
      <w:r w:rsidR="00A209FF">
        <w:t>;</w:t>
      </w:r>
      <w:r>
        <w:t xml:space="preserve"> this obligation is satisfied for both parties if either one provides the SBC. Thus, if you have an insured plan, you should confirm that your health insurance issuer will assume responsibility for providing the SBCs.</w:t>
      </w:r>
    </w:p>
    <w:p w:rsidR="00B56C1A" w:rsidRDefault="00713439" w:rsidP="00B56C1A">
      <w:pPr>
        <w:pStyle w:val="SubHeader"/>
      </w:pPr>
      <w:r>
        <w:t>Grandfathered Plan Notice</w:t>
      </w:r>
    </w:p>
    <w:p w:rsidR="00B56C1A" w:rsidRDefault="00713439" w:rsidP="00B56C1A">
      <w:pPr>
        <w:pStyle w:val="BodyText"/>
      </w:pPr>
      <w:r>
        <w:t xml:space="preserve">If you have a grandfathered plan, make sure to include </w:t>
      </w:r>
      <w:r w:rsidRPr="007544FE">
        <w:rPr>
          <w:b/>
        </w:rPr>
        <w:t>information about the plan’s grandfathered status</w:t>
      </w:r>
      <w:r>
        <w:t xml:space="preserve"> in plan materials describing the coverage under the plan, such as SPDs and open enrollment materials. </w:t>
      </w:r>
      <w:hyperlink r:id="rId18" w:history="1">
        <w:r w:rsidRPr="007544FE">
          <w:rPr>
            <w:rStyle w:val="Hyperlink"/>
          </w:rPr>
          <w:t>Model language</w:t>
        </w:r>
      </w:hyperlink>
      <w:r>
        <w:t xml:space="preserve"> is available from the DOL.</w:t>
      </w:r>
    </w:p>
    <w:p w:rsidR="00B56C1A" w:rsidRDefault="00713439" w:rsidP="00B56C1A">
      <w:pPr>
        <w:pStyle w:val="SubHeader"/>
      </w:pPr>
      <w:r>
        <w:t>Notice of Patient Protections</w:t>
      </w:r>
    </w:p>
    <w:p w:rsidR="00B56C1A" w:rsidRDefault="00713439" w:rsidP="00B56C1A">
      <w:pPr>
        <w:pStyle w:val="BodyText"/>
      </w:pPr>
      <w:r>
        <w:t xml:space="preserve">Under the ACA, non-grandfathered group health plans and issuers that require designation of a participating primary care provider must permit each participant, beneficiary and enrollee to designate any available participating primary care provider (including a pediatrician for children). </w:t>
      </w:r>
      <w:r w:rsidR="00A209FF">
        <w:t>Additionally</w:t>
      </w:r>
      <w:r>
        <w:t>, plans and issuers that provide obstetrical/gynecological care and require a designation of a participating primary care provider may not require preauthorization or referral for obstetrical/gynecological care.</w:t>
      </w:r>
    </w:p>
    <w:p w:rsidR="00C84C66" w:rsidRDefault="00713439" w:rsidP="00B56C1A">
      <w:pPr>
        <w:pStyle w:val="BodyText"/>
      </w:pPr>
      <w:r>
        <w:lastRenderedPageBreak/>
        <w:t xml:space="preserve">If a non-grandfathered plan requires participants to designate a participating primary care provider, the plan or issuer must provide a notice of these patient protections whenever the SPD or similar description of benefits is provided to a participant. If your plan is subject to this notice requirement, you should confirm that it is included in the plan’s open enrollment materials. </w:t>
      </w:r>
      <w:hyperlink r:id="rId19" w:history="1">
        <w:r w:rsidRPr="007544FE">
          <w:rPr>
            <w:rStyle w:val="Hyperlink"/>
          </w:rPr>
          <w:t>Model language</w:t>
        </w:r>
      </w:hyperlink>
      <w:r>
        <w:t xml:space="preserve"> is available from the DOL.</w:t>
      </w:r>
    </w:p>
    <w:tbl>
      <w:tblPr>
        <w:tblW w:w="0" w:type="auto"/>
        <w:shd w:val="clear" w:color="auto" w:fill="4884A2"/>
        <w:tblLook w:val="04A0" w:firstRow="1" w:lastRow="0" w:firstColumn="1" w:lastColumn="0" w:noHBand="0" w:noVBand="1"/>
      </w:tblPr>
      <w:tblGrid>
        <w:gridCol w:w="10800"/>
      </w:tblGrid>
      <w:tr w:rsidR="00034859" w:rsidTr="00A51511">
        <w:tc>
          <w:tcPr>
            <w:tcW w:w="10800" w:type="dxa"/>
            <w:shd w:val="clear" w:color="auto" w:fill="0B406B"/>
            <w:vAlign w:val="center"/>
          </w:tcPr>
          <w:p w:rsidR="00B56C1A" w:rsidRPr="00B40915" w:rsidRDefault="00713439" w:rsidP="001D6911">
            <w:pPr>
              <w:pStyle w:val="TableHeader"/>
            </w:pPr>
            <w:r>
              <w:t>OTHER NOTICES</w:t>
            </w:r>
          </w:p>
        </w:tc>
      </w:tr>
    </w:tbl>
    <w:p w:rsidR="00B56C1A" w:rsidRDefault="00713439" w:rsidP="00B56C1A">
      <w:pPr>
        <w:pStyle w:val="BodyText"/>
        <w:spacing w:before="160"/>
      </w:pPr>
      <w:r w:rsidRPr="007544FE">
        <w:t>Group health plan sponsors should consider including the following enrollment and annual notices with the plan’s open enrollment materials</w:t>
      </w:r>
      <w:r>
        <w:t>.</w:t>
      </w:r>
    </w:p>
    <w:p w:rsidR="00B56C1A" w:rsidRDefault="00713439" w:rsidP="00B56C1A">
      <w:pPr>
        <w:pStyle w:val="SubHeader"/>
      </w:pPr>
      <w:r>
        <w:t>Initial COBRA Notice</w:t>
      </w:r>
    </w:p>
    <w:p w:rsidR="00B56C1A" w:rsidRDefault="00713439" w:rsidP="00B56C1A">
      <w:pPr>
        <w:pStyle w:val="BodyText"/>
      </w:pPr>
      <w:r>
        <w:t xml:space="preserve">The Consolidated Omnibus Budget Reconciliation Act (COBRA) applies to employers with 20 or more employees that sponsor group health plans. Group health plan administrators must provide an initial COBRA notice to new participants and certain dependents within 90 days after plan coverage begins. The initial COBRA notice may be incorporated into the plan’s SPD. A </w:t>
      </w:r>
      <w:hyperlink r:id="rId20" w:history="1">
        <w:r>
          <w:rPr>
            <w:rStyle w:val="Hyperlink"/>
          </w:rPr>
          <w:t>model initial COBRA notice</w:t>
        </w:r>
      </w:hyperlink>
      <w:r>
        <w:t xml:space="preserve"> is available from the DOL.</w:t>
      </w:r>
    </w:p>
    <w:p w:rsidR="00B56C1A" w:rsidRDefault="00713439" w:rsidP="00B56C1A">
      <w:pPr>
        <w:pStyle w:val="SubHeader"/>
      </w:pPr>
      <w:r>
        <w:t>Notice of HIPAA Special Enrollment Rights</w:t>
      </w:r>
    </w:p>
    <w:p w:rsidR="00C674F5" w:rsidRDefault="00713439" w:rsidP="00C674F5">
      <w:pPr>
        <w:pStyle w:val="BodyText"/>
      </w:pPr>
      <w:r>
        <w:t xml:space="preserve">At or </w:t>
      </w:r>
      <w:r w:rsidR="00A209FF">
        <w:t>before</w:t>
      </w:r>
      <w:r>
        <w:t xml:space="preserve"> the time of enrollment, a group health plan must provide each eligible employee with a notice of his or her special enrollment rights under the Health Insurance Portability and Accountability Act (HIPAA). This notice may be included in the plan’s SPD.</w:t>
      </w:r>
      <w:r w:rsidR="00C674F5">
        <w:t xml:space="preserve">  Model language for this disclosure is available on the </w:t>
      </w:r>
      <w:proofErr w:type="spellStart"/>
      <w:r w:rsidR="00C674F5">
        <w:t>DOL’s</w:t>
      </w:r>
      <w:proofErr w:type="spellEnd"/>
      <w:r w:rsidR="00C674F5">
        <w:t xml:space="preserve"> </w:t>
      </w:r>
      <w:hyperlink r:id="rId21" w:history="1">
        <w:r w:rsidR="00C674F5" w:rsidRPr="007A7250">
          <w:rPr>
            <w:rStyle w:val="Hyperlink"/>
          </w:rPr>
          <w:t>website</w:t>
        </w:r>
      </w:hyperlink>
      <w:r w:rsidR="00C674F5">
        <w:t>.</w:t>
      </w:r>
    </w:p>
    <w:p w:rsidR="00B56C1A" w:rsidRDefault="00713439" w:rsidP="00B56C1A">
      <w:pPr>
        <w:pStyle w:val="SubHeader"/>
      </w:pPr>
      <w:r>
        <w:t>Summary Plan Description</w:t>
      </w:r>
    </w:p>
    <w:p w:rsidR="00B56C1A" w:rsidRDefault="00713439" w:rsidP="00B56C1A">
      <w:pPr>
        <w:pStyle w:val="BodyText"/>
      </w:pPr>
      <w:r>
        <w:t>Plan administrators must provide an SPD to new participants within 90 days after plan coverage begins. Any changes made to the plan should be reflected in an updated SPD booklet or described to participants through an SMM. Also, an updated SPD must be furnished every five years if changes are made to SPD information or if the plan is amended. Otherwise, a new SPD must be provided every 10 years.</w:t>
      </w:r>
    </w:p>
    <w:p w:rsidR="00B56C1A" w:rsidRDefault="00713439" w:rsidP="00B56C1A">
      <w:pPr>
        <w:pStyle w:val="SubHeader"/>
      </w:pPr>
      <w:r>
        <w:t>HIPAA Privacy Notice</w:t>
      </w:r>
    </w:p>
    <w:p w:rsidR="00B56C1A" w:rsidRDefault="00713439" w:rsidP="00B56C1A">
      <w:pPr>
        <w:pStyle w:val="BodyText"/>
      </w:pPr>
      <w:r>
        <w:t xml:space="preserve">The HIPAA Privacy Rule requires covered entities (including group health plans and issuers) to provide a Notice of Privacy Practices (or Privacy Notice) to each individual who is the subject of protected health information (PHI). Health plans are required to send the Privacy Notice at certain times, including to </w:t>
      </w:r>
      <w:r w:rsidRPr="00F7310F">
        <w:rPr>
          <w:b/>
        </w:rPr>
        <w:t>new enrollees at the time of enrollment</w:t>
      </w:r>
      <w:r>
        <w:t>. Also, at least once every three years, health plans must either redistribute the Privacy Notice or notify participants that the Privacy Notice is available and explain how to obtain a copy.</w:t>
      </w:r>
    </w:p>
    <w:p w:rsidR="00B56C1A" w:rsidRDefault="00713439" w:rsidP="00B56C1A">
      <w:pPr>
        <w:pStyle w:val="BodyText"/>
      </w:pPr>
      <w:r>
        <w:t xml:space="preserve">Self-insured health plans are required to maintain and provide their own Privacy Notices. </w:t>
      </w:r>
      <w:r w:rsidR="00A209FF">
        <w:t>However, s</w:t>
      </w:r>
      <w:r>
        <w:t>pecial rules apply for fully insured plans. Under these rules, the health insurance issuer, not the health plan itself, is primarily responsible for the Privacy Notice.</w:t>
      </w:r>
    </w:p>
    <w:p w:rsidR="00B56C1A" w:rsidRDefault="00713439" w:rsidP="00B56C1A">
      <w:pPr>
        <w:pStyle w:val="BodyText"/>
        <w:jc w:val="center"/>
      </w:pPr>
      <w:r>
        <w:rPr>
          <w:noProof/>
        </w:rPr>
        <mc:AlternateContent>
          <mc:Choice Requires="wpg">
            <w:drawing>
              <wp:inline distT="0" distB="0" distL="0" distR="0">
                <wp:extent cx="6865620" cy="716280"/>
                <wp:effectExtent l="0" t="0" r="11430" b="26670"/>
                <wp:docPr id="26" name="Group 26"/>
                <wp:cNvGraphicFramePr/>
                <a:graphic xmlns:a="http://schemas.openxmlformats.org/drawingml/2006/main">
                  <a:graphicData uri="http://schemas.microsoft.com/office/word/2010/wordprocessingGroup">
                    <wpg:wgp>
                      <wpg:cNvGrpSpPr/>
                      <wpg:grpSpPr>
                        <a:xfrm>
                          <a:off x="0" y="0"/>
                          <a:ext cx="6865620" cy="716280"/>
                          <a:chOff x="1439" y="8453"/>
                          <a:chExt cx="10878" cy="1214"/>
                        </a:xfrm>
                      </wpg:grpSpPr>
                      <wps:wsp>
                        <wps:cNvPr id="27" name="Rectangle 9"/>
                        <wps:cNvSpPr>
                          <a:spLocks noChangeArrowheads="1"/>
                        </wps:cNvSpPr>
                        <wps:spPr bwMode="auto">
                          <a:xfrm>
                            <a:off x="8140" y="8453"/>
                            <a:ext cx="4177" cy="1214"/>
                          </a:xfrm>
                          <a:prstGeom prst="rect">
                            <a:avLst/>
                          </a:prstGeom>
                          <a:solidFill>
                            <a:srgbClr val="CFCDCD"/>
                          </a:solidFill>
                          <a:ln w="1905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rsidR="00B56C1A" w:rsidRDefault="00713439" w:rsidP="00B56C1A">
                              <w:pPr>
                                <w:pStyle w:val="T-Text"/>
                                <w:spacing w:before="60" w:after="60"/>
                                <w:ind w:left="450"/>
                              </w:pPr>
                              <w:r>
                                <w:t>Health insurance issuers have primary responsibility for Privacy Notices</w:t>
                              </w:r>
                            </w:p>
                          </w:txbxContent>
                        </wps:txbx>
                        <wps:bodyPr rot="0" vert="horz" wrap="square" anchor="t" anchorCtr="0" upright="1"/>
                      </wps:wsp>
                      <wps:wsp>
                        <wps:cNvPr id="28" name="AutoShape 10"/>
                        <wps:cNvSpPr>
                          <a:spLocks noChangeArrowheads="1"/>
                        </wps:cNvSpPr>
                        <wps:spPr bwMode="auto">
                          <a:xfrm>
                            <a:off x="6495" y="8453"/>
                            <a:ext cx="2106" cy="1214"/>
                          </a:xfrm>
                          <a:prstGeom prst="homePlate">
                            <a:avLst>
                              <a:gd name="adj" fmla="val 35441"/>
                            </a:avLst>
                          </a:prstGeom>
                          <a:solidFill>
                            <a:srgbClr val="7F7F7F"/>
                          </a:solidFill>
                          <a:ln w="1905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rsidR="00B56C1A" w:rsidRPr="00F4032B" w:rsidRDefault="00713439" w:rsidP="00B56C1A">
                              <w:pPr>
                                <w:pStyle w:val="T-Text"/>
                                <w:spacing w:before="60" w:after="60"/>
                                <w:jc w:val="center"/>
                                <w:rPr>
                                  <w:b/>
                                  <w:color w:val="FFFFFF"/>
                                </w:rPr>
                              </w:pPr>
                              <w:r>
                                <w:rPr>
                                  <w:b/>
                                  <w:color w:val="FFFFFF"/>
                                </w:rPr>
                                <w:t xml:space="preserve">Fully </w:t>
                              </w:r>
                              <w:r w:rsidRPr="00F4032B">
                                <w:rPr>
                                  <w:b/>
                                  <w:color w:val="FFFFFF"/>
                                </w:rPr>
                                <w:t>insured plans</w:t>
                              </w:r>
                            </w:p>
                          </w:txbxContent>
                        </wps:txbx>
                        <wps:bodyPr rot="0" vert="horz" wrap="square" anchor="t" anchorCtr="0" upright="1"/>
                      </wps:wsp>
                      <wps:wsp>
                        <wps:cNvPr id="29" name="Rectangle 11"/>
                        <wps:cNvSpPr>
                          <a:spLocks noChangeArrowheads="1"/>
                        </wps:cNvSpPr>
                        <wps:spPr bwMode="auto">
                          <a:xfrm>
                            <a:off x="3084" y="8453"/>
                            <a:ext cx="3269" cy="1214"/>
                          </a:xfrm>
                          <a:prstGeom prst="rect">
                            <a:avLst/>
                          </a:prstGeom>
                          <a:solidFill>
                            <a:srgbClr val="C9D9EF"/>
                          </a:solidFill>
                          <a:ln w="1905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rsidR="00B56C1A" w:rsidRDefault="00713439" w:rsidP="00B56C1A">
                              <w:pPr>
                                <w:pStyle w:val="T-Text"/>
                                <w:spacing w:before="60" w:after="60"/>
                                <w:ind w:left="450"/>
                              </w:pPr>
                              <w:r>
                                <w:t>Must maintain and provide their own Privacy Notices</w:t>
                              </w:r>
                            </w:p>
                          </w:txbxContent>
                        </wps:txbx>
                        <wps:bodyPr rot="0" vert="horz" wrap="square" anchor="t" anchorCtr="0" upright="1"/>
                      </wps:wsp>
                      <wps:wsp>
                        <wps:cNvPr id="30" name="AutoShape 12"/>
                        <wps:cNvSpPr>
                          <a:spLocks noChangeArrowheads="1"/>
                        </wps:cNvSpPr>
                        <wps:spPr bwMode="auto">
                          <a:xfrm>
                            <a:off x="1439" y="8453"/>
                            <a:ext cx="2106" cy="1214"/>
                          </a:xfrm>
                          <a:prstGeom prst="homePlate">
                            <a:avLst>
                              <a:gd name="adj" fmla="val 35441"/>
                            </a:avLst>
                          </a:prstGeom>
                          <a:solidFill>
                            <a:srgbClr val="0B406B"/>
                          </a:solidFill>
                          <a:ln w="1905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rsidR="00B56C1A" w:rsidRPr="00A44313" w:rsidRDefault="00713439" w:rsidP="00B56C1A">
                              <w:pPr>
                                <w:pStyle w:val="T-Text"/>
                                <w:spacing w:before="60" w:after="60"/>
                                <w:jc w:val="center"/>
                                <w:rPr>
                                  <w:b/>
                                  <w:color w:val="FFFFFF"/>
                                </w:rPr>
                              </w:pPr>
                              <w:r w:rsidRPr="00A44313">
                                <w:rPr>
                                  <w:b/>
                                  <w:color w:val="FFFFFF"/>
                                </w:rPr>
                                <w:t>Self-insured plans</w:t>
                              </w:r>
                            </w:p>
                          </w:txbxContent>
                        </wps:txbx>
                        <wps:bodyPr rot="0" vert="horz" wrap="square" anchor="t" anchorCtr="0" upright="1"/>
                      </wps:wsp>
                    </wpg:wgp>
                  </a:graphicData>
                </a:graphic>
              </wp:inline>
            </w:drawing>
          </mc:Choice>
          <mc:Fallback>
            <w:pict>
              <v:group id="Group 26" o:spid="_x0000_s1034" style="width:540.6pt;height:56.4pt;mso-position-horizontal-relative:char;mso-position-vertical-relative:line" coordorigin="1439,8453" coordsize="10878,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">
                <v:rect id="Rectangle 9" o:spid="_x0000_s1035" style="position:absolute;left:8140;top:8453;width:4177;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" fillcolor="#cfcdcd" strokecolor="#f2f2f2" strokeweight="1.5pt">
                  <v:shadow color="#823b0b" opacity=".5" offset="1pt"/>
                  <v:textbox>
                    <w:txbxContent>
                      <w:p w:rsidR="00B56C1A" w:rsidRDefault="00713439" w:rsidP="00B56C1A">
                        <w:pPr>
                          <w:pStyle w:val="T-Text"/>
                          <w:spacing w:before="60" w:after="60"/>
                          <w:ind w:left="450"/>
                        </w:pPr>
                        <w:r>
                          <w:t>Health insurance issuers have primary responsibility for Privacy Notices</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0" o:spid="_x0000_s1036" type="#_x0000_t15" style="position:absolute;left:6495;top:8453;width:2106;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" adj="17187" fillcolor="#7f7f7f" strokecolor="#f2f2f2" strokeweight="1.5pt">
                  <v:shadow color="#823b0b" opacity=".5" offset="1pt"/>
                  <v:textbox>
                    <w:txbxContent>
                      <w:p w:rsidR="00B56C1A" w:rsidRPr="00F4032B" w:rsidRDefault="00713439" w:rsidP="00B56C1A">
                        <w:pPr>
                          <w:pStyle w:val="T-Text"/>
                          <w:spacing w:before="60" w:after="60"/>
                          <w:jc w:val="center"/>
                          <w:rPr>
                            <w:b/>
                            <w:color w:val="FFFFFF"/>
                          </w:rPr>
                        </w:pPr>
                        <w:r>
                          <w:rPr>
                            <w:b/>
                            <w:color w:val="FFFFFF"/>
                          </w:rPr>
                          <w:t xml:space="preserve">Fully </w:t>
                        </w:r>
                        <w:r w:rsidRPr="00F4032B">
                          <w:rPr>
                            <w:b/>
                            <w:color w:val="FFFFFF"/>
                          </w:rPr>
                          <w:t>insured plans</w:t>
                        </w:r>
                      </w:p>
                    </w:txbxContent>
                  </v:textbox>
                </v:shape>
                <v:rect id="Rectangle 11" o:spid="_x0000_s1037" style="position:absolute;left:3084;top:8453;width:3269;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" fillcolor="#c9d9ef" strokecolor="#f2f2f2" strokeweight="1.5pt">
                  <v:shadow color="#823b0b" opacity=".5" offset="1pt"/>
                  <v:textbox>
                    <w:txbxContent>
                      <w:p w:rsidR="00B56C1A" w:rsidRDefault="00713439" w:rsidP="00B56C1A">
                        <w:pPr>
                          <w:pStyle w:val="T-Text"/>
                          <w:spacing w:before="60" w:after="60"/>
                          <w:ind w:left="450"/>
                        </w:pPr>
                        <w:r>
                          <w:t>Must maintain and provide their own Privacy Notices</w:t>
                        </w:r>
                      </w:p>
                    </w:txbxContent>
                  </v:textbox>
                </v:rect>
                <v:shape id="AutoShape 12" o:spid="_x0000_s1038" type="#_x0000_t15" style="position:absolute;left:1439;top:8453;width:2106;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" adj="17187" fillcolor="#0b406b" strokecolor="#f2f2f2" strokeweight="1.5pt">
                  <v:shadow color="#823b0b" opacity=".5" offset="1pt"/>
                  <v:textbox>
                    <w:txbxContent>
                      <w:p w:rsidR="00B56C1A" w:rsidRPr="00A44313" w:rsidRDefault="00713439" w:rsidP="00B56C1A">
                        <w:pPr>
                          <w:pStyle w:val="T-Text"/>
                          <w:spacing w:before="60" w:after="60"/>
                          <w:jc w:val="center"/>
                          <w:rPr>
                            <w:b/>
                            <w:color w:val="FFFFFF"/>
                          </w:rPr>
                        </w:pPr>
                        <w:r w:rsidRPr="00A44313">
                          <w:rPr>
                            <w:b/>
                            <w:color w:val="FFFFFF"/>
                          </w:rPr>
                          <w:t>Self-insured plans</w:t>
                        </w:r>
                      </w:p>
                    </w:txbxContent>
                  </v:textbox>
                </v:shape>
                <w10:anchorlock/>
              </v:group>
            </w:pict>
          </mc:Fallback>
        </mc:AlternateContent>
      </w:r>
      <w:bookmarkStart w:id="0" w:name="_GoBack"/>
      <w:bookmarkEnd w:id="0"/>
    </w:p>
    <w:p w:rsidR="00B56C1A" w:rsidRDefault="009321D4" w:rsidP="00B56C1A">
      <w:pPr>
        <w:pStyle w:val="BodyText"/>
      </w:pPr>
      <w:hyperlink r:id="rId22" w:history="1">
        <w:r w:rsidR="00713439" w:rsidRPr="00810CF0">
          <w:rPr>
            <w:rStyle w:val="Hyperlink"/>
          </w:rPr>
          <w:t>Model Privacy Notices</w:t>
        </w:r>
      </w:hyperlink>
      <w:r w:rsidR="00713439" w:rsidRPr="00810CF0">
        <w:t xml:space="preserve"> are available through </w:t>
      </w:r>
      <w:r w:rsidR="00713439">
        <w:t>HHS</w:t>
      </w:r>
      <w:r w:rsidR="00713439" w:rsidRPr="00810CF0">
        <w:t>.</w:t>
      </w:r>
    </w:p>
    <w:p w:rsidR="00B56C1A" w:rsidRDefault="00713439" w:rsidP="00B56C1A">
      <w:pPr>
        <w:pStyle w:val="SubHeader"/>
      </w:pPr>
      <w:r>
        <w:lastRenderedPageBreak/>
        <w:t>Annual CHIPRA Notice</w:t>
      </w:r>
    </w:p>
    <w:p w:rsidR="00B56C1A" w:rsidRDefault="00713439" w:rsidP="00B56C1A">
      <w:pPr>
        <w:pStyle w:val="BodyText"/>
      </w:pPr>
      <w:r>
        <w:t xml:space="preserve">Group health plans covering residents in a state that provides a premium subsidy to low-income children and their families to help pay for employer-sponsored coverage must send an annual notice about the available assistance to all employees residing in that state. The DOL has provided a </w:t>
      </w:r>
      <w:hyperlink r:id="rId23" w:history="1">
        <w:r w:rsidRPr="00F4032B">
          <w:rPr>
            <w:rStyle w:val="Hyperlink"/>
          </w:rPr>
          <w:t>model notice</w:t>
        </w:r>
      </w:hyperlink>
      <w:r>
        <w:t>.</w:t>
      </w:r>
    </w:p>
    <w:p w:rsidR="00B56C1A" w:rsidRDefault="00713439" w:rsidP="00B56C1A">
      <w:pPr>
        <w:pStyle w:val="SubHeader"/>
      </w:pPr>
      <w:r>
        <w:t>WHCRA Notice</w:t>
      </w:r>
    </w:p>
    <w:p w:rsidR="00B56C1A" w:rsidRDefault="00713439" w:rsidP="00B56C1A">
      <w:pPr>
        <w:pStyle w:val="BodyText"/>
      </w:pPr>
      <w:r>
        <w:t xml:space="preserve">Plans and issuers must provide </w:t>
      </w:r>
      <w:r w:rsidR="00A209FF">
        <w:t xml:space="preserve">a </w:t>
      </w:r>
      <w:r>
        <w:t xml:space="preserve">notice of participants’ rights to mastectomy-related benefits under the Women’s Health and Cancer Rights Act (WHCRA) at the time of enrollment and on an annual basis. </w:t>
      </w:r>
      <w:bookmarkStart w:id="1" w:name="_Hlk80880691"/>
      <w:r>
        <w:t xml:space="preserve">Model language for this disclosure is available on the DOL’s </w:t>
      </w:r>
      <w:hyperlink r:id="rId24" w:history="1">
        <w:r w:rsidRPr="007A7250">
          <w:rPr>
            <w:rStyle w:val="Hyperlink"/>
          </w:rPr>
          <w:t>website</w:t>
        </w:r>
      </w:hyperlink>
      <w:r>
        <w:t>.</w:t>
      </w:r>
    </w:p>
    <w:bookmarkEnd w:id="1"/>
    <w:p w:rsidR="004D5B03" w:rsidRPr="007E0620" w:rsidRDefault="004D5B03" w:rsidP="004D5B03">
      <w:pPr>
        <w:pStyle w:val="SubHeader"/>
      </w:pPr>
      <w:proofErr w:type="spellStart"/>
      <w:r w:rsidRPr="007E0620">
        <w:t>NMHPA</w:t>
      </w:r>
      <w:proofErr w:type="spellEnd"/>
      <w:r w:rsidRPr="007E0620">
        <w:t xml:space="preserve"> Notice </w:t>
      </w:r>
    </w:p>
    <w:p w:rsidR="00D240D9" w:rsidRDefault="004D5B03" w:rsidP="00D240D9">
      <w:pPr>
        <w:pStyle w:val="BodyText"/>
      </w:pPr>
      <w:r>
        <w:t xml:space="preserve">Plan administrators must include a statement within the Summary Plan Description (SPD) timeframe describing requirements relating to any hospital length of stay in connection with childbirth for a mother or newborn child under the Newborn’s Mother’s Health Protections Act. </w:t>
      </w:r>
      <w:r w:rsidR="00D240D9">
        <w:t xml:space="preserve">Model language for this disclosure is available on the </w:t>
      </w:r>
      <w:proofErr w:type="spellStart"/>
      <w:r w:rsidR="00D240D9">
        <w:t>DOL’s</w:t>
      </w:r>
      <w:proofErr w:type="spellEnd"/>
      <w:r w:rsidR="00D240D9">
        <w:t xml:space="preserve"> </w:t>
      </w:r>
      <w:hyperlink r:id="rId25" w:history="1">
        <w:r w:rsidR="00D240D9" w:rsidRPr="007A7250">
          <w:rPr>
            <w:rStyle w:val="Hyperlink"/>
          </w:rPr>
          <w:t>website</w:t>
        </w:r>
      </w:hyperlink>
      <w:r w:rsidR="00D240D9">
        <w:t>.</w:t>
      </w:r>
    </w:p>
    <w:p w:rsidR="00B56C1A" w:rsidRDefault="00713439" w:rsidP="00B56C1A">
      <w:pPr>
        <w:pStyle w:val="SubHeader"/>
      </w:pPr>
      <w:r>
        <w:t>Medicare Part D Notices</w:t>
      </w:r>
    </w:p>
    <w:p w:rsidR="00B56C1A" w:rsidRDefault="00713439" w:rsidP="00B56C1A">
      <w:pPr>
        <w:pStyle w:val="BodyText"/>
      </w:pPr>
      <w:r>
        <w:t>Group health plan sponsors must provide a notice of creditable or non-creditable prescription drug coverage to Medicare Part D-eligible individuals covered by</w:t>
      </w:r>
      <w:r w:rsidR="00A209FF">
        <w:t>,</w:t>
      </w:r>
      <w:r>
        <w:t xml:space="preserve"> or who apply for, prescription drug coverage under the health plan. This creditable coverage notice alerts the individuals a</w:t>
      </w:r>
      <w:r w:rsidR="00A209FF">
        <w:t>bout</w:t>
      </w:r>
      <w:r>
        <w:t xml:space="preserve"> whether or not their prescription drug coverage is at least as good as the Medicare Part D coverage. The notice generally must be provided at various times, including when an individual enrolls in the plan and each year before </w:t>
      </w:r>
      <w:r w:rsidRPr="00F4032B">
        <w:rPr>
          <w:b/>
        </w:rPr>
        <w:t>Oct</w:t>
      </w:r>
      <w:r>
        <w:rPr>
          <w:b/>
        </w:rPr>
        <w:t>.</w:t>
      </w:r>
      <w:r w:rsidRPr="00F4032B">
        <w:rPr>
          <w:b/>
        </w:rPr>
        <w:t xml:space="preserve"> 15</w:t>
      </w:r>
      <w:r>
        <w:t xml:space="preserve"> (when the Medicare annual open enrollment period begins). Model notices are available on the Centers for Medicare and Medicaid Services’ </w:t>
      </w:r>
      <w:hyperlink r:id="rId26" w:history="1">
        <w:r w:rsidRPr="007A7250">
          <w:rPr>
            <w:rStyle w:val="Hyperlink"/>
          </w:rPr>
          <w:t>website</w:t>
        </w:r>
      </w:hyperlink>
      <w:r>
        <w:t>.</w:t>
      </w:r>
    </w:p>
    <w:p w:rsidR="00B56C1A" w:rsidRDefault="00713439" w:rsidP="00B56C1A">
      <w:pPr>
        <w:pStyle w:val="SubHeader"/>
      </w:pPr>
      <w:r>
        <w:t>Summary Annual Report</w:t>
      </w:r>
    </w:p>
    <w:p w:rsidR="00B56C1A" w:rsidRDefault="00713439" w:rsidP="00B56C1A">
      <w:pPr>
        <w:pStyle w:val="BodyText"/>
      </w:pPr>
      <w:r>
        <w:t xml:space="preserve">Plan administrators required to file </w:t>
      </w:r>
      <w:r w:rsidR="00A209FF">
        <w:t xml:space="preserve">a </w:t>
      </w:r>
      <w:r>
        <w:t xml:space="preserve">Form 5500 must provide participants with a narrative summary of the information in the Form 5500 called a summary annual report (SAR). A </w:t>
      </w:r>
      <w:hyperlink r:id="rId27" w:history="1">
        <w:r w:rsidRPr="00263C92">
          <w:rPr>
            <w:rStyle w:val="Hyperlink"/>
          </w:rPr>
          <w:t>model notice</w:t>
        </w:r>
      </w:hyperlink>
      <w:r>
        <w:t xml:space="preserve"> is available from the DOL.</w:t>
      </w:r>
    </w:p>
    <w:p w:rsidR="00B56C1A" w:rsidRPr="007C0BB7" w:rsidRDefault="00713439" w:rsidP="00B56C1A">
      <w:pPr>
        <w:pStyle w:val="BodyText"/>
      </w:pPr>
      <w:r>
        <w:t>Group health plans that are unfunded (that is, benefits are payable from the employer’s general assets and not through an insurance policy or trust) are not subject to the SAR requirement. The plan administrator generally must provide the SAR within nine months of the close of the plan year. If an extension of time to file the Form 5500 is obtained, the plan administrator must furnish the SAR within two months after the close of the extension period.</w:t>
      </w:r>
    </w:p>
    <w:p w:rsidR="00B56C1A" w:rsidRDefault="00713439" w:rsidP="00B56C1A">
      <w:pPr>
        <w:pStyle w:val="SubHeader"/>
      </w:pPr>
      <w:r>
        <w:t>Wellness Program Notices</w:t>
      </w:r>
    </w:p>
    <w:p w:rsidR="00B56C1A" w:rsidRDefault="00713439" w:rsidP="00B56C1A">
      <w:pPr>
        <w:pStyle w:val="BodyText"/>
      </w:pPr>
      <w:r>
        <w:t>Group health plans that include wellness programs may be required to provide certain notices regarding the program’s design. As a general rule, these notices should be provided when the wellness program is communicated to employees and before employees provide any health-related information or undergo medical examinations.</w:t>
      </w:r>
    </w:p>
    <w:p w:rsidR="00B56C1A" w:rsidRPr="00375005" w:rsidRDefault="00713439" w:rsidP="00B56C1A">
      <w:pPr>
        <w:pStyle w:val="Checkbox"/>
      </w:pPr>
      <w:r>
        <w:rPr>
          <w:b/>
        </w:rPr>
        <w:t>HIPAA Wellness Program Notice</w:t>
      </w:r>
      <w:r>
        <w:rPr>
          <w:rFonts w:cs="Calibri"/>
        </w:rPr>
        <w:t>—</w:t>
      </w:r>
      <w:r>
        <w:t xml:space="preserve">HIPAA imposes a notice requirement on health-contingent wellness programs that are offered under group health plans. </w:t>
      </w:r>
      <w:r w:rsidRPr="00375005">
        <w:t xml:space="preserve">Health-contingent wellness plans require individuals to satisfy standards related to health factors </w:t>
      </w:r>
      <w:r>
        <w:t xml:space="preserve">(for example, not smoking) </w:t>
      </w:r>
      <w:r w:rsidRPr="00375005">
        <w:t xml:space="preserve">in </w:t>
      </w:r>
      <w:r w:rsidRPr="00B56C1A">
        <w:t>order</w:t>
      </w:r>
      <w:r w:rsidRPr="00375005">
        <w:t xml:space="preserve"> to obtain rewards.</w:t>
      </w:r>
      <w:r>
        <w:t xml:space="preserve"> The notice m</w:t>
      </w:r>
      <w:r w:rsidRPr="00375005">
        <w:t>ust disclose the availability of a reasonable alternative standard to qualify for the reward (and, if applicable, the possibility of waiver of the otherwise applicable standard) in all plan materials describing the terms of a health-contingent wellness program</w:t>
      </w:r>
      <w:r>
        <w:t xml:space="preserve">. The DOL’s </w:t>
      </w:r>
      <w:hyperlink r:id="rId28" w:history="1">
        <w:r w:rsidRPr="00FA082B">
          <w:rPr>
            <w:rStyle w:val="Hyperlink"/>
          </w:rPr>
          <w:t>compliance assistance guide</w:t>
        </w:r>
      </w:hyperlink>
      <w:r>
        <w:t xml:space="preserve"> includes a model notice</w:t>
      </w:r>
      <w:r w:rsidRPr="00311E37">
        <w:t xml:space="preserve"> that can be used to satisfy this requirement.</w:t>
      </w:r>
    </w:p>
    <w:p w:rsidR="00B56C1A" w:rsidRPr="00B56C1A" w:rsidRDefault="00713439" w:rsidP="00B56C1A">
      <w:pPr>
        <w:pStyle w:val="Checkbox"/>
      </w:pPr>
      <w:r>
        <w:rPr>
          <w:b/>
        </w:rPr>
        <w:lastRenderedPageBreak/>
        <w:t>Americans with Disabilities Act (</w:t>
      </w:r>
      <w:r w:rsidRPr="00375005">
        <w:rPr>
          <w:b/>
        </w:rPr>
        <w:t>ADA</w:t>
      </w:r>
      <w:r>
        <w:rPr>
          <w:b/>
        </w:rPr>
        <w:t>)</w:t>
      </w:r>
      <w:r w:rsidRPr="00375005">
        <w:rPr>
          <w:b/>
        </w:rPr>
        <w:t xml:space="preserve"> </w:t>
      </w:r>
      <w:r>
        <w:rPr>
          <w:b/>
        </w:rPr>
        <w:t xml:space="preserve">Wellness Program </w:t>
      </w:r>
      <w:r w:rsidRPr="00375005">
        <w:rPr>
          <w:b/>
        </w:rPr>
        <w:t>Notice</w:t>
      </w:r>
      <w:r w:rsidRPr="00375005">
        <w:rPr>
          <w:rFonts w:cs="Calibri"/>
        </w:rPr>
        <w:t>—</w:t>
      </w:r>
      <w:r>
        <w:t>Employers with 15 or more employees are subject to the ADA. Wellness programs that include health-related questions or medical exams must comply with the ADA’s requirements, including an employee notice requirement. Employers must give participating employees a notice that tells them what information will be collected as part of the wellness program</w:t>
      </w:r>
      <w:r w:rsidR="00A209FF">
        <w:t xml:space="preserve">, </w:t>
      </w:r>
      <w:r>
        <w:t>with whom it will be shared and for what purpose</w:t>
      </w:r>
      <w:r w:rsidR="00A209FF">
        <w:t>, as well as</w:t>
      </w:r>
      <w:r>
        <w:t xml:space="preserve"> the limits on disclosure and the way information will be kept confidential. The Equal Employment Opportunity Commission (EEOC) has provided a </w:t>
      </w:r>
      <w:hyperlink r:id="rId29" w:history="1">
        <w:r w:rsidRPr="00B37E7B">
          <w:rPr>
            <w:rStyle w:val="Hyperlink"/>
          </w:rPr>
          <w:t>sample notice</w:t>
        </w:r>
      </w:hyperlink>
      <w:r>
        <w:t xml:space="preserve"> to help employers comply with this ADA requirement.</w:t>
      </w:r>
    </w:p>
    <w:sectPr w:rsidR="00B56C1A" w:rsidRPr="00B56C1A" w:rsidSect="00C84C66">
      <w:headerReference w:type="default" r:id="rId30"/>
      <w:footerReference w:type="default" r:id="rId31"/>
      <w:pgSz w:w="12240" w:h="15840"/>
      <w:pgMar w:top="180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1D4" w:rsidRDefault="009321D4">
      <w:pPr>
        <w:spacing w:after="0" w:line="240" w:lineRule="auto"/>
      </w:pPr>
      <w:r>
        <w:separator/>
      </w:r>
    </w:p>
  </w:endnote>
  <w:endnote w:type="continuationSeparator" w:id="0">
    <w:p w:rsidR="009321D4" w:rsidRDefault="0093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6D" w:rsidRDefault="00713439">
    <w:pPr>
      <w:pStyle w:val="Footer"/>
    </w:pPr>
    <w:r>
      <w:rPr>
        <w:noProof/>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margin">
                <wp:posOffset>5975536</wp:posOffset>
              </wp:positionV>
              <wp:extent cx="6849035" cy="8965"/>
              <wp:effectExtent l="19050" t="19050" r="9525" b="29210"/>
              <wp:wrapNone/>
              <wp:docPr id="5" name="Straight Connector 5"/>
              <wp:cNvGraphicFramePr/>
              <a:graphic xmlns:a="http://schemas.openxmlformats.org/drawingml/2006/main">
                <a:graphicData uri="http://schemas.microsoft.com/office/word/2010/wordprocessingShape">
                  <wps:wsp>
                    <wps:cNvCnPr/>
                    <wps:spPr>
                      <a:xfrm flipH="1" flipV="1">
                        <a:off x="0" y="0"/>
                        <a:ext cx="6849035" cy="8965"/>
                      </a:xfrm>
                      <a:prstGeom prst="line">
                        <a:avLst/>
                      </a:prstGeom>
                      <a:ln w="44450">
                        <a:solidFill>
                          <a:srgbClr val="0B406B">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0B9D2" id="Straight Connector 5" o:spid="_x0000_s1026" style="position:absolute;flip:x 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0,470.5pt" to="539.3pt,4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" strokecolor="#0b406b" strokeweight="3.5pt">
              <v:stroke opacity="49087f" joinstyle="miter"/>
              <w10:wrap anchorx="margin" anchory="margin"/>
            </v:line>
          </w:pict>
        </mc:Fallback>
      </mc:AlternateContent>
    </w:r>
    <w:r>
      <w:rPr>
        <w:noProof/>
      </w:rPr>
      <w:drawing>
        <wp:anchor distT="0" distB="0" distL="114300" distR="114300" simplePos="0" relativeHeight="251659264" behindDoc="1" locked="0" layoutInCell="1" allowOverlap="1">
          <wp:simplePos x="0" y="0"/>
          <wp:positionH relativeFrom="page">
            <wp:posOffset>0</wp:posOffset>
          </wp:positionH>
          <wp:positionV relativeFrom="paragraph">
            <wp:posOffset>1492575</wp:posOffset>
          </wp:positionV>
          <wp:extent cx="7772400" cy="63093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al_fol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99777"/>
      <w:docPartObj>
        <w:docPartGallery w:val="Page Numbers (Bottom of Page)"/>
        <w:docPartUnique/>
      </w:docPartObj>
    </w:sdtPr>
    <w:sdtEndPr>
      <w:rPr>
        <w:noProof/>
      </w:rPr>
    </w:sdtEndPr>
    <w:sdtContent>
      <w:p w:rsidR="00A95ADA" w:rsidRDefault="00713439">
        <w:pPr>
          <w:pStyle w:val="Footer"/>
          <w:jc w:val="right"/>
        </w:pPr>
        <w:r w:rsidRPr="009B1176">
          <w:rPr>
            <w:noProof/>
            <w:color w:val="0B406B"/>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margin">
                    <wp:posOffset>7789876</wp:posOffset>
                  </wp:positionV>
                  <wp:extent cx="6848475" cy="8890"/>
                  <wp:effectExtent l="19050" t="19050" r="9525" b="29210"/>
                  <wp:wrapNone/>
                  <wp:docPr id="4" name="Straight Connector 4"/>
                  <wp:cNvGraphicFramePr/>
                  <a:graphic xmlns:a="http://schemas.openxmlformats.org/drawingml/2006/main">
                    <a:graphicData uri="http://schemas.microsoft.com/office/word/2010/wordprocessingShape">
                      <wps:wsp>
                        <wps:cNvCnPr/>
                        <wps:spPr>
                          <a:xfrm flipH="1" flipV="1">
                            <a:off x="0" y="0"/>
                            <a:ext cx="6848475" cy="8890"/>
                          </a:xfrm>
                          <a:prstGeom prst="line">
                            <a:avLst/>
                          </a:prstGeom>
                          <a:ln w="44450">
                            <a:solidFill>
                              <a:srgbClr val="0B406B">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1A738" id="Straight Connector 4" o:spid="_x0000_s1026" style="position:absolute;flip:x 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0,613.4pt" to="539.25pt,6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" strokecolor="#0b406b" strokeweight="3.5pt">
                  <v:stroke opacity="49087f" joinstyle="miter"/>
                  <w10:wrap anchorx="margin" anchory="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rsidR="00E6115F" w:rsidRDefault="00E61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1D4" w:rsidRDefault="009321D4">
      <w:pPr>
        <w:spacing w:after="0" w:line="240" w:lineRule="auto"/>
      </w:pPr>
      <w:r>
        <w:separator/>
      </w:r>
    </w:p>
  </w:footnote>
  <w:footnote w:type="continuationSeparator" w:id="0">
    <w:p w:rsidR="009321D4" w:rsidRDefault="00932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6D" w:rsidRDefault="000D5114">
    <w:pPr>
      <w:pStyle w:val="Header"/>
    </w:pPr>
    <w:r>
      <w:rPr>
        <w:noProof/>
      </w:rPr>
      <w:drawing>
        <wp:anchor distT="0" distB="0" distL="114300" distR="114300" simplePos="0" relativeHeight="251667456" behindDoc="0" locked="0" layoutInCell="1" allowOverlap="1" wp14:anchorId="16438C9E" wp14:editId="38764052">
          <wp:simplePos x="0" y="0"/>
          <wp:positionH relativeFrom="margin">
            <wp:posOffset>0</wp:posOffset>
          </wp:positionH>
          <wp:positionV relativeFrom="paragraph">
            <wp:posOffset>-437341</wp:posOffset>
          </wp:positionV>
          <wp:extent cx="6956462" cy="245510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wley-LBU-judy-header-template.jpg"/>
                  <pic:cNvPicPr/>
                </pic:nvPicPr>
                <pic:blipFill>
                  <a:blip r:embed="rId1">
                    <a:extLst>
                      <a:ext uri="{28A0092B-C50C-407E-A947-70E740481C1C}">
                        <a14:useLocalDpi xmlns:a14="http://schemas.microsoft.com/office/drawing/2010/main" val="0"/>
                      </a:ext>
                    </a:extLst>
                  </a:blip>
                  <a:stretch>
                    <a:fillRect/>
                  </a:stretch>
                </pic:blipFill>
                <pic:spPr>
                  <a:xfrm>
                    <a:off x="0" y="0"/>
                    <a:ext cx="6956462" cy="245510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7CD" w:rsidRDefault="009B1176">
    <w:pPr>
      <w:pStyle w:val="Header"/>
    </w:pPr>
    <w:r>
      <w:rPr>
        <w:noProof/>
      </w:rPr>
      <w:drawing>
        <wp:anchor distT="0" distB="0" distL="114300" distR="114300" simplePos="0" relativeHeight="251669504" behindDoc="0" locked="0" layoutInCell="1" allowOverlap="1" wp14:anchorId="7C23272C" wp14:editId="6BA2C56F">
          <wp:simplePos x="0" y="0"/>
          <wp:positionH relativeFrom="column">
            <wp:posOffset>0</wp:posOffset>
          </wp:positionH>
          <wp:positionV relativeFrom="paragraph">
            <wp:posOffset>-73486</wp:posOffset>
          </wp:positionV>
          <wp:extent cx="1950720" cy="69850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awley_logotype_color.jpg"/>
                  <pic:cNvPicPr/>
                </pic:nvPicPr>
                <pic:blipFill>
                  <a:blip r:embed="rId1">
                    <a:extLst>
                      <a:ext uri="{28A0092B-C50C-407E-A947-70E740481C1C}">
                        <a14:useLocalDpi xmlns:a14="http://schemas.microsoft.com/office/drawing/2010/main" val="0"/>
                      </a:ext>
                    </a:extLst>
                  </a:blip>
                  <a:stretch>
                    <a:fillRect/>
                  </a:stretch>
                </pic:blipFill>
                <pic:spPr>
                  <a:xfrm>
                    <a:off x="0" y="0"/>
                    <a:ext cx="1950720" cy="698500"/>
                  </a:xfrm>
                  <a:prstGeom prst="rect">
                    <a:avLst/>
                  </a:prstGeom>
                </pic:spPr>
              </pic:pic>
            </a:graphicData>
          </a:graphic>
          <wp14:sizeRelH relativeFrom="page">
            <wp14:pctWidth>0</wp14:pctWidth>
          </wp14:sizeRelH>
          <wp14:sizeRelV relativeFrom="page">
            <wp14:pctHeight>0</wp14:pctHeight>
          </wp14:sizeRelV>
        </wp:anchor>
      </w:drawing>
    </w:r>
    <w:r w:rsidR="00713439">
      <w:rPr>
        <w:noProof/>
      </w:rPr>
      <mc:AlternateContent>
        <mc:Choice Requires="wps">
          <w:drawing>
            <wp:anchor distT="0" distB="0" distL="114300" distR="114300" simplePos="0" relativeHeight="251661312" behindDoc="0" locked="0" layoutInCell="1" allowOverlap="1">
              <wp:simplePos x="0" y="0"/>
              <wp:positionH relativeFrom="margin">
                <wp:posOffset>-55418</wp:posOffset>
              </wp:positionH>
              <wp:positionV relativeFrom="paragraph">
                <wp:posOffset>8679873</wp:posOffset>
              </wp:positionV>
              <wp:extent cx="5984875" cy="5562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984875" cy="556260"/>
                      </a:xfrm>
                      <a:prstGeom prst="rect">
                        <a:avLst/>
                      </a:prstGeom>
                      <a:noFill/>
                      <a:ln w="6350">
                        <a:noFill/>
                      </a:ln>
                      <a:effectLst/>
                    </wps:spPr>
                    <wps:txbx>
                      <w:txbxContent>
                        <w:p w:rsidR="00EC1229" w:rsidRPr="00817EEE" w:rsidRDefault="00713439" w:rsidP="00EC1229">
                          <w:pPr>
                            <w:pStyle w:val="Disclaimer"/>
                          </w:pPr>
                          <w:r w:rsidRPr="00947E11">
                            <w:rPr>
                              <w:szCs w:val="16"/>
                            </w:rPr>
                            <w:t xml:space="preserve">This </w:t>
                          </w:r>
                          <w:r>
                            <w:rPr>
                              <w:szCs w:val="16"/>
                            </w:rPr>
                            <w:t>Compliance Overview</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©20</w:t>
                          </w:r>
                          <w:r w:rsidR="00B56C1A">
                            <w:t>2</w:t>
                          </w:r>
                          <w:r w:rsidRPr="00817EEE">
                            <w:t>1</w:t>
                          </w:r>
                          <w:r>
                            <w:t xml:space="preserve"> </w:t>
                          </w:r>
                          <w:r w:rsidRPr="00817EEE">
                            <w:t>Zywave, Inc.</w:t>
                          </w:r>
                          <w:r>
                            <w:t xml:space="preserve"> </w:t>
                          </w:r>
                          <w:r w:rsidRPr="00817EEE">
                            <w:t>All rights reserved.</w:t>
                          </w:r>
                        </w:p>
                        <w:p w:rsidR="00EC1229" w:rsidRPr="00947E11" w:rsidRDefault="00EC1229" w:rsidP="00EC1229">
                          <w:pPr>
                            <w:pStyle w:val="Disclaimer"/>
                            <w:rPr>
                              <w:szCs w:val="16"/>
                            </w:rPr>
                          </w:pPr>
                        </w:p>
                        <w:p w:rsidR="00E6115F" w:rsidRPr="00947E11" w:rsidRDefault="00E6115F" w:rsidP="008F7B15">
                          <w:pPr>
                            <w:pStyle w:val="Disclaimer"/>
                            <w:rPr>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39" type="#_x0000_t202" style="position:absolute;margin-left:-4.35pt;margin-top:683.45pt;width:471.25pt;height:4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" filled="f" stroked="f" strokeweight=".5pt">
              <v:textbox>
                <w:txbxContent>
                  <w:p w:rsidR="00EC1229" w:rsidRPr="00817EEE" w:rsidRDefault="00713439" w:rsidP="00EC1229">
                    <w:pPr>
                      <w:pStyle w:val="Disclaimer"/>
                    </w:pPr>
                    <w:r w:rsidRPr="00947E11">
                      <w:rPr>
                        <w:szCs w:val="16"/>
                      </w:rPr>
                      <w:t xml:space="preserve">This </w:t>
                    </w:r>
                    <w:r>
                      <w:rPr>
                        <w:szCs w:val="16"/>
                      </w:rPr>
                      <w:t>Compliance Overview</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©20</w:t>
                    </w:r>
                    <w:r w:rsidR="00B56C1A">
                      <w:t>2</w:t>
                    </w:r>
                    <w:r w:rsidRPr="00817EEE">
                      <w:t>1</w:t>
                    </w:r>
                    <w:r>
                      <w:t xml:space="preserve"> </w:t>
                    </w:r>
                    <w:r w:rsidRPr="00817EEE">
                      <w:t>Zywave, Inc.</w:t>
                    </w:r>
                    <w:r>
                      <w:t xml:space="preserve"> </w:t>
                    </w:r>
                    <w:r w:rsidRPr="00817EEE">
                      <w:t>All rights reserved.</w:t>
                    </w:r>
                  </w:p>
                  <w:p w:rsidR="00EC1229" w:rsidRPr="00947E11" w:rsidRDefault="00EC1229" w:rsidP="00EC1229">
                    <w:pPr>
                      <w:pStyle w:val="Disclaimer"/>
                      <w:rPr>
                        <w:szCs w:val="16"/>
                      </w:rPr>
                    </w:pPr>
                  </w:p>
                  <w:p w:rsidR="00E6115F" w:rsidRPr="00947E11" w:rsidRDefault="00E6115F" w:rsidP="008F7B15">
                    <w:pPr>
                      <w:pStyle w:val="Disclaimer"/>
                      <w:rPr>
                        <w:szCs w:val="16"/>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95063"/>
    <w:multiLevelType w:val="hybridMultilevel"/>
    <w:tmpl w:val="0CE2A7C2"/>
    <w:lvl w:ilvl="0" w:tplc="F828CC34">
      <w:start w:val="1"/>
      <w:numFmt w:val="bullet"/>
      <w:lvlText w:val=""/>
      <w:lvlJc w:val="left"/>
      <w:pPr>
        <w:ind w:left="540" w:hanging="360"/>
      </w:pPr>
      <w:rPr>
        <w:rFonts w:ascii="Symbol" w:hAnsi="Symbol" w:hint="default"/>
        <w:color w:val="5083C9"/>
      </w:rPr>
    </w:lvl>
    <w:lvl w:ilvl="1" w:tplc="6AEC727E">
      <w:start w:val="1"/>
      <w:numFmt w:val="bullet"/>
      <w:lvlText w:val="o"/>
      <w:lvlJc w:val="left"/>
      <w:pPr>
        <w:ind w:left="1440" w:hanging="360"/>
      </w:pPr>
      <w:rPr>
        <w:rFonts w:ascii="Courier New" w:hAnsi="Courier New" w:cs="Courier New" w:hint="default"/>
      </w:rPr>
    </w:lvl>
    <w:lvl w:ilvl="2" w:tplc="B9801AA4" w:tentative="1">
      <w:start w:val="1"/>
      <w:numFmt w:val="bullet"/>
      <w:lvlText w:val=""/>
      <w:lvlJc w:val="left"/>
      <w:pPr>
        <w:ind w:left="2160" w:hanging="360"/>
      </w:pPr>
      <w:rPr>
        <w:rFonts w:ascii="Wingdings" w:hAnsi="Wingdings" w:hint="default"/>
      </w:rPr>
    </w:lvl>
    <w:lvl w:ilvl="3" w:tplc="5852CAA6" w:tentative="1">
      <w:start w:val="1"/>
      <w:numFmt w:val="bullet"/>
      <w:lvlText w:val=""/>
      <w:lvlJc w:val="left"/>
      <w:pPr>
        <w:ind w:left="2880" w:hanging="360"/>
      </w:pPr>
      <w:rPr>
        <w:rFonts w:ascii="Symbol" w:hAnsi="Symbol" w:hint="default"/>
      </w:rPr>
    </w:lvl>
    <w:lvl w:ilvl="4" w:tplc="FED4A0AA" w:tentative="1">
      <w:start w:val="1"/>
      <w:numFmt w:val="bullet"/>
      <w:lvlText w:val="o"/>
      <w:lvlJc w:val="left"/>
      <w:pPr>
        <w:ind w:left="3600" w:hanging="360"/>
      </w:pPr>
      <w:rPr>
        <w:rFonts w:ascii="Courier New" w:hAnsi="Courier New" w:cs="Courier New" w:hint="default"/>
      </w:rPr>
    </w:lvl>
    <w:lvl w:ilvl="5" w:tplc="2ED61EB8" w:tentative="1">
      <w:start w:val="1"/>
      <w:numFmt w:val="bullet"/>
      <w:lvlText w:val=""/>
      <w:lvlJc w:val="left"/>
      <w:pPr>
        <w:ind w:left="4320" w:hanging="360"/>
      </w:pPr>
      <w:rPr>
        <w:rFonts w:ascii="Wingdings" w:hAnsi="Wingdings" w:hint="default"/>
      </w:rPr>
    </w:lvl>
    <w:lvl w:ilvl="6" w:tplc="F7AE8014" w:tentative="1">
      <w:start w:val="1"/>
      <w:numFmt w:val="bullet"/>
      <w:lvlText w:val=""/>
      <w:lvlJc w:val="left"/>
      <w:pPr>
        <w:ind w:left="5040" w:hanging="360"/>
      </w:pPr>
      <w:rPr>
        <w:rFonts w:ascii="Symbol" w:hAnsi="Symbol" w:hint="default"/>
      </w:rPr>
    </w:lvl>
    <w:lvl w:ilvl="7" w:tplc="E07E01F4" w:tentative="1">
      <w:start w:val="1"/>
      <w:numFmt w:val="bullet"/>
      <w:lvlText w:val="o"/>
      <w:lvlJc w:val="left"/>
      <w:pPr>
        <w:ind w:left="5760" w:hanging="360"/>
      </w:pPr>
      <w:rPr>
        <w:rFonts w:ascii="Courier New" w:hAnsi="Courier New" w:cs="Courier New" w:hint="default"/>
      </w:rPr>
    </w:lvl>
    <w:lvl w:ilvl="8" w:tplc="4B1009EA" w:tentative="1">
      <w:start w:val="1"/>
      <w:numFmt w:val="bullet"/>
      <w:lvlText w:val=""/>
      <w:lvlJc w:val="left"/>
      <w:pPr>
        <w:ind w:left="6480" w:hanging="360"/>
      </w:pPr>
      <w:rPr>
        <w:rFonts w:ascii="Wingdings" w:hAnsi="Wingdings" w:hint="default"/>
      </w:rPr>
    </w:lvl>
  </w:abstractNum>
  <w:abstractNum w:abstractNumId="1" w15:restartNumberingAfterBreak="0">
    <w:nsid w:val="1568599D"/>
    <w:multiLevelType w:val="multilevel"/>
    <w:tmpl w:val="B13CDD56"/>
    <w:numStyleLink w:val="BulletedList"/>
  </w:abstractNum>
  <w:abstractNum w:abstractNumId="2" w15:restartNumberingAfterBreak="0">
    <w:nsid w:val="1A270686"/>
    <w:multiLevelType w:val="hybridMultilevel"/>
    <w:tmpl w:val="ED0EDE4C"/>
    <w:lvl w:ilvl="0" w:tplc="C206E4AA">
      <w:start w:val="1"/>
      <w:numFmt w:val="bullet"/>
      <w:pStyle w:val="Checkbox"/>
      <w:lvlText w:val=""/>
      <w:lvlJc w:val="left"/>
      <w:pPr>
        <w:ind w:left="540" w:hanging="360"/>
      </w:pPr>
      <w:rPr>
        <w:rFonts w:ascii="Wingdings" w:hAnsi="Wingdings" w:hint="default"/>
        <w:color w:val="0B406B"/>
        <w:sz w:val="28"/>
      </w:rPr>
    </w:lvl>
    <w:lvl w:ilvl="1" w:tplc="0824D0C0">
      <w:start w:val="1"/>
      <w:numFmt w:val="bullet"/>
      <w:lvlText w:val="o"/>
      <w:lvlJc w:val="left"/>
      <w:pPr>
        <w:ind w:left="1440" w:hanging="360"/>
      </w:pPr>
      <w:rPr>
        <w:rFonts w:ascii="Courier New" w:hAnsi="Courier New" w:cs="Courier New" w:hint="default"/>
      </w:rPr>
    </w:lvl>
    <w:lvl w:ilvl="2" w:tplc="FA761456" w:tentative="1">
      <w:start w:val="1"/>
      <w:numFmt w:val="bullet"/>
      <w:lvlText w:val=""/>
      <w:lvlJc w:val="left"/>
      <w:pPr>
        <w:ind w:left="2160" w:hanging="360"/>
      </w:pPr>
      <w:rPr>
        <w:rFonts w:ascii="Wingdings" w:hAnsi="Wingdings" w:hint="default"/>
      </w:rPr>
    </w:lvl>
    <w:lvl w:ilvl="3" w:tplc="A9BC02D4" w:tentative="1">
      <w:start w:val="1"/>
      <w:numFmt w:val="bullet"/>
      <w:lvlText w:val=""/>
      <w:lvlJc w:val="left"/>
      <w:pPr>
        <w:ind w:left="2880" w:hanging="360"/>
      </w:pPr>
      <w:rPr>
        <w:rFonts w:ascii="Symbol" w:hAnsi="Symbol" w:hint="default"/>
      </w:rPr>
    </w:lvl>
    <w:lvl w:ilvl="4" w:tplc="C7D0F34E" w:tentative="1">
      <w:start w:val="1"/>
      <w:numFmt w:val="bullet"/>
      <w:lvlText w:val="o"/>
      <w:lvlJc w:val="left"/>
      <w:pPr>
        <w:ind w:left="3600" w:hanging="360"/>
      </w:pPr>
      <w:rPr>
        <w:rFonts w:ascii="Courier New" w:hAnsi="Courier New" w:cs="Courier New" w:hint="default"/>
      </w:rPr>
    </w:lvl>
    <w:lvl w:ilvl="5" w:tplc="8ACAFC10" w:tentative="1">
      <w:start w:val="1"/>
      <w:numFmt w:val="bullet"/>
      <w:lvlText w:val=""/>
      <w:lvlJc w:val="left"/>
      <w:pPr>
        <w:ind w:left="4320" w:hanging="360"/>
      </w:pPr>
      <w:rPr>
        <w:rFonts w:ascii="Wingdings" w:hAnsi="Wingdings" w:hint="default"/>
      </w:rPr>
    </w:lvl>
    <w:lvl w:ilvl="6" w:tplc="A9C683CE" w:tentative="1">
      <w:start w:val="1"/>
      <w:numFmt w:val="bullet"/>
      <w:lvlText w:val=""/>
      <w:lvlJc w:val="left"/>
      <w:pPr>
        <w:ind w:left="5040" w:hanging="360"/>
      </w:pPr>
      <w:rPr>
        <w:rFonts w:ascii="Symbol" w:hAnsi="Symbol" w:hint="default"/>
      </w:rPr>
    </w:lvl>
    <w:lvl w:ilvl="7" w:tplc="1596625E" w:tentative="1">
      <w:start w:val="1"/>
      <w:numFmt w:val="bullet"/>
      <w:lvlText w:val="o"/>
      <w:lvlJc w:val="left"/>
      <w:pPr>
        <w:ind w:left="5760" w:hanging="360"/>
      </w:pPr>
      <w:rPr>
        <w:rFonts w:ascii="Courier New" w:hAnsi="Courier New" w:cs="Courier New" w:hint="default"/>
      </w:rPr>
    </w:lvl>
    <w:lvl w:ilvl="8" w:tplc="1DEEAE7A" w:tentative="1">
      <w:start w:val="1"/>
      <w:numFmt w:val="bullet"/>
      <w:lvlText w:val=""/>
      <w:lvlJc w:val="left"/>
      <w:pPr>
        <w:ind w:left="6480" w:hanging="360"/>
      </w:pPr>
      <w:rPr>
        <w:rFonts w:ascii="Wingdings" w:hAnsi="Wingdings" w:hint="default"/>
      </w:rPr>
    </w:lvl>
  </w:abstractNum>
  <w:abstractNum w:abstractNumId="3" w15:restartNumberingAfterBreak="0">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7C3E30"/>
    <w:multiLevelType w:val="hybridMultilevel"/>
    <w:tmpl w:val="A948A4AE"/>
    <w:lvl w:ilvl="0" w:tplc="23BC4192">
      <w:start w:val="1"/>
      <w:numFmt w:val="bullet"/>
      <w:pStyle w:val="Bullet"/>
      <w:lvlText w:val=""/>
      <w:lvlJc w:val="left"/>
      <w:pPr>
        <w:ind w:left="720" w:hanging="360"/>
      </w:pPr>
      <w:rPr>
        <w:rFonts w:ascii="Symbol" w:hAnsi="Symbol" w:hint="default"/>
        <w:color w:val="0B406B"/>
      </w:rPr>
    </w:lvl>
    <w:lvl w:ilvl="1" w:tplc="EA3C8964">
      <w:start w:val="1"/>
      <w:numFmt w:val="bullet"/>
      <w:lvlText w:val="o"/>
      <w:lvlJc w:val="left"/>
      <w:pPr>
        <w:ind w:left="1440" w:hanging="360"/>
      </w:pPr>
      <w:rPr>
        <w:rFonts w:ascii="Courier New" w:hAnsi="Courier New" w:cs="Courier New" w:hint="default"/>
      </w:rPr>
    </w:lvl>
    <w:lvl w:ilvl="2" w:tplc="30CC670E">
      <w:start w:val="1"/>
      <w:numFmt w:val="bullet"/>
      <w:lvlText w:val=""/>
      <w:lvlJc w:val="left"/>
      <w:pPr>
        <w:ind w:left="2160" w:hanging="360"/>
      </w:pPr>
      <w:rPr>
        <w:rFonts w:ascii="Wingdings" w:hAnsi="Wingdings" w:hint="default"/>
      </w:rPr>
    </w:lvl>
    <w:lvl w:ilvl="3" w:tplc="0CB0307C" w:tentative="1">
      <w:start w:val="1"/>
      <w:numFmt w:val="bullet"/>
      <w:lvlText w:val=""/>
      <w:lvlJc w:val="left"/>
      <w:pPr>
        <w:ind w:left="2880" w:hanging="360"/>
      </w:pPr>
      <w:rPr>
        <w:rFonts w:ascii="Symbol" w:hAnsi="Symbol" w:hint="default"/>
      </w:rPr>
    </w:lvl>
    <w:lvl w:ilvl="4" w:tplc="83D6296C" w:tentative="1">
      <w:start w:val="1"/>
      <w:numFmt w:val="bullet"/>
      <w:lvlText w:val="o"/>
      <w:lvlJc w:val="left"/>
      <w:pPr>
        <w:ind w:left="3600" w:hanging="360"/>
      </w:pPr>
      <w:rPr>
        <w:rFonts w:ascii="Courier New" w:hAnsi="Courier New" w:cs="Courier New" w:hint="default"/>
      </w:rPr>
    </w:lvl>
    <w:lvl w:ilvl="5" w:tplc="5F6ABB3E" w:tentative="1">
      <w:start w:val="1"/>
      <w:numFmt w:val="bullet"/>
      <w:lvlText w:val=""/>
      <w:lvlJc w:val="left"/>
      <w:pPr>
        <w:ind w:left="4320" w:hanging="360"/>
      </w:pPr>
      <w:rPr>
        <w:rFonts w:ascii="Wingdings" w:hAnsi="Wingdings" w:hint="default"/>
      </w:rPr>
    </w:lvl>
    <w:lvl w:ilvl="6" w:tplc="B5E21696" w:tentative="1">
      <w:start w:val="1"/>
      <w:numFmt w:val="bullet"/>
      <w:lvlText w:val=""/>
      <w:lvlJc w:val="left"/>
      <w:pPr>
        <w:ind w:left="5040" w:hanging="360"/>
      </w:pPr>
      <w:rPr>
        <w:rFonts w:ascii="Symbol" w:hAnsi="Symbol" w:hint="default"/>
      </w:rPr>
    </w:lvl>
    <w:lvl w:ilvl="7" w:tplc="E95C1C48" w:tentative="1">
      <w:start w:val="1"/>
      <w:numFmt w:val="bullet"/>
      <w:lvlText w:val="o"/>
      <w:lvlJc w:val="left"/>
      <w:pPr>
        <w:ind w:left="5760" w:hanging="360"/>
      </w:pPr>
      <w:rPr>
        <w:rFonts w:ascii="Courier New" w:hAnsi="Courier New" w:cs="Courier New" w:hint="default"/>
      </w:rPr>
    </w:lvl>
    <w:lvl w:ilvl="8" w:tplc="3E103952" w:tentative="1">
      <w:start w:val="1"/>
      <w:numFmt w:val="bullet"/>
      <w:lvlText w:val=""/>
      <w:lvlJc w:val="left"/>
      <w:pPr>
        <w:ind w:left="6480" w:hanging="360"/>
      </w:pPr>
      <w:rPr>
        <w:rFonts w:ascii="Wingdings" w:hAnsi="Wingdings" w:hint="default"/>
      </w:rPr>
    </w:lvl>
  </w:abstractNum>
  <w:abstractNum w:abstractNumId="5" w15:restartNumberingAfterBreak="0">
    <w:nsid w:val="49D40F3B"/>
    <w:multiLevelType w:val="multilevel"/>
    <w:tmpl w:val="B13CDD56"/>
    <w:numStyleLink w:val="BulletedList"/>
  </w:abstractNum>
  <w:abstractNum w:abstractNumId="6" w15:restartNumberingAfterBreak="0">
    <w:nsid w:val="4C8601A1"/>
    <w:multiLevelType w:val="hybridMultilevel"/>
    <w:tmpl w:val="43CE94D6"/>
    <w:lvl w:ilvl="0" w:tplc="BB60C9C8">
      <w:start w:val="1"/>
      <w:numFmt w:val="bullet"/>
      <w:lvlText w:val=""/>
      <w:lvlJc w:val="left"/>
      <w:pPr>
        <w:ind w:left="720" w:hanging="360"/>
      </w:pPr>
      <w:rPr>
        <w:rFonts w:ascii="Symbol" w:hAnsi="Symbol" w:hint="default"/>
      </w:rPr>
    </w:lvl>
    <w:lvl w:ilvl="1" w:tplc="B022BB9A">
      <w:start w:val="1"/>
      <w:numFmt w:val="bullet"/>
      <w:lvlText w:val="o"/>
      <w:lvlJc w:val="left"/>
      <w:pPr>
        <w:ind w:left="1440" w:hanging="360"/>
      </w:pPr>
      <w:rPr>
        <w:rFonts w:ascii="Courier New" w:hAnsi="Courier New" w:hint="default"/>
      </w:rPr>
    </w:lvl>
    <w:lvl w:ilvl="2" w:tplc="8216FF46" w:tentative="1">
      <w:start w:val="1"/>
      <w:numFmt w:val="bullet"/>
      <w:lvlText w:val=""/>
      <w:lvlJc w:val="left"/>
      <w:pPr>
        <w:ind w:left="2160" w:hanging="360"/>
      </w:pPr>
      <w:rPr>
        <w:rFonts w:ascii="Wingdings" w:hAnsi="Wingdings" w:hint="default"/>
      </w:rPr>
    </w:lvl>
    <w:lvl w:ilvl="3" w:tplc="CB3C682E" w:tentative="1">
      <w:start w:val="1"/>
      <w:numFmt w:val="bullet"/>
      <w:lvlText w:val=""/>
      <w:lvlJc w:val="left"/>
      <w:pPr>
        <w:ind w:left="2880" w:hanging="360"/>
      </w:pPr>
      <w:rPr>
        <w:rFonts w:ascii="Symbol" w:hAnsi="Symbol" w:hint="default"/>
      </w:rPr>
    </w:lvl>
    <w:lvl w:ilvl="4" w:tplc="0D86514A" w:tentative="1">
      <w:start w:val="1"/>
      <w:numFmt w:val="bullet"/>
      <w:lvlText w:val="o"/>
      <w:lvlJc w:val="left"/>
      <w:pPr>
        <w:ind w:left="3600" w:hanging="360"/>
      </w:pPr>
      <w:rPr>
        <w:rFonts w:ascii="Courier New" w:hAnsi="Courier New" w:cs="Courier New" w:hint="default"/>
      </w:rPr>
    </w:lvl>
    <w:lvl w:ilvl="5" w:tplc="DEA4B7B0" w:tentative="1">
      <w:start w:val="1"/>
      <w:numFmt w:val="bullet"/>
      <w:lvlText w:val=""/>
      <w:lvlJc w:val="left"/>
      <w:pPr>
        <w:ind w:left="4320" w:hanging="360"/>
      </w:pPr>
      <w:rPr>
        <w:rFonts w:ascii="Wingdings" w:hAnsi="Wingdings" w:hint="default"/>
      </w:rPr>
    </w:lvl>
    <w:lvl w:ilvl="6" w:tplc="5D980AC4" w:tentative="1">
      <w:start w:val="1"/>
      <w:numFmt w:val="bullet"/>
      <w:lvlText w:val=""/>
      <w:lvlJc w:val="left"/>
      <w:pPr>
        <w:ind w:left="5040" w:hanging="360"/>
      </w:pPr>
      <w:rPr>
        <w:rFonts w:ascii="Symbol" w:hAnsi="Symbol" w:hint="default"/>
      </w:rPr>
    </w:lvl>
    <w:lvl w:ilvl="7" w:tplc="3AC29170" w:tentative="1">
      <w:start w:val="1"/>
      <w:numFmt w:val="bullet"/>
      <w:lvlText w:val="o"/>
      <w:lvlJc w:val="left"/>
      <w:pPr>
        <w:ind w:left="5760" w:hanging="360"/>
      </w:pPr>
      <w:rPr>
        <w:rFonts w:ascii="Courier New" w:hAnsi="Courier New" w:cs="Courier New" w:hint="default"/>
      </w:rPr>
    </w:lvl>
    <w:lvl w:ilvl="8" w:tplc="0AD29644" w:tentative="1">
      <w:start w:val="1"/>
      <w:numFmt w:val="bullet"/>
      <w:lvlText w:val=""/>
      <w:lvlJc w:val="left"/>
      <w:pPr>
        <w:ind w:left="6480" w:hanging="360"/>
      </w:pPr>
      <w:rPr>
        <w:rFonts w:ascii="Wingdings" w:hAnsi="Wingdings" w:hint="default"/>
      </w:rPr>
    </w:lvl>
  </w:abstractNum>
  <w:abstractNum w:abstractNumId="7" w15:restartNumberingAfterBreak="0">
    <w:nsid w:val="4E624744"/>
    <w:multiLevelType w:val="hybridMultilevel"/>
    <w:tmpl w:val="D67CDEAC"/>
    <w:lvl w:ilvl="0" w:tplc="FAD2ECCA">
      <w:start w:val="1"/>
      <w:numFmt w:val="bullet"/>
      <w:pStyle w:val="Xbox"/>
      <w:lvlText w:val=""/>
      <w:lvlJc w:val="left"/>
      <w:pPr>
        <w:ind w:left="540" w:hanging="360"/>
      </w:pPr>
      <w:rPr>
        <w:rFonts w:ascii="Wingdings" w:hAnsi="Wingdings" w:hint="default"/>
        <w:color w:val="BD6363"/>
        <w:sz w:val="28"/>
      </w:rPr>
    </w:lvl>
    <w:lvl w:ilvl="1" w:tplc="BD96A91E">
      <w:start w:val="1"/>
      <w:numFmt w:val="bullet"/>
      <w:lvlText w:val="o"/>
      <w:lvlJc w:val="left"/>
      <w:pPr>
        <w:ind w:left="1440" w:hanging="360"/>
      </w:pPr>
      <w:rPr>
        <w:rFonts w:ascii="Courier New" w:hAnsi="Courier New" w:cs="Courier New" w:hint="default"/>
      </w:rPr>
    </w:lvl>
    <w:lvl w:ilvl="2" w:tplc="95DC959E" w:tentative="1">
      <w:start w:val="1"/>
      <w:numFmt w:val="bullet"/>
      <w:lvlText w:val=""/>
      <w:lvlJc w:val="left"/>
      <w:pPr>
        <w:ind w:left="2160" w:hanging="360"/>
      </w:pPr>
      <w:rPr>
        <w:rFonts w:ascii="Wingdings" w:hAnsi="Wingdings" w:hint="default"/>
      </w:rPr>
    </w:lvl>
    <w:lvl w:ilvl="3" w:tplc="3BBC2028" w:tentative="1">
      <w:start w:val="1"/>
      <w:numFmt w:val="bullet"/>
      <w:lvlText w:val=""/>
      <w:lvlJc w:val="left"/>
      <w:pPr>
        <w:ind w:left="2880" w:hanging="360"/>
      </w:pPr>
      <w:rPr>
        <w:rFonts w:ascii="Symbol" w:hAnsi="Symbol" w:hint="default"/>
      </w:rPr>
    </w:lvl>
    <w:lvl w:ilvl="4" w:tplc="F58EFA74" w:tentative="1">
      <w:start w:val="1"/>
      <w:numFmt w:val="bullet"/>
      <w:lvlText w:val="o"/>
      <w:lvlJc w:val="left"/>
      <w:pPr>
        <w:ind w:left="3600" w:hanging="360"/>
      </w:pPr>
      <w:rPr>
        <w:rFonts w:ascii="Courier New" w:hAnsi="Courier New" w:cs="Courier New" w:hint="default"/>
      </w:rPr>
    </w:lvl>
    <w:lvl w:ilvl="5" w:tplc="E5B2A314" w:tentative="1">
      <w:start w:val="1"/>
      <w:numFmt w:val="bullet"/>
      <w:lvlText w:val=""/>
      <w:lvlJc w:val="left"/>
      <w:pPr>
        <w:ind w:left="4320" w:hanging="360"/>
      </w:pPr>
      <w:rPr>
        <w:rFonts w:ascii="Wingdings" w:hAnsi="Wingdings" w:hint="default"/>
      </w:rPr>
    </w:lvl>
    <w:lvl w:ilvl="6" w:tplc="B61AB02C" w:tentative="1">
      <w:start w:val="1"/>
      <w:numFmt w:val="bullet"/>
      <w:lvlText w:val=""/>
      <w:lvlJc w:val="left"/>
      <w:pPr>
        <w:ind w:left="5040" w:hanging="360"/>
      </w:pPr>
      <w:rPr>
        <w:rFonts w:ascii="Symbol" w:hAnsi="Symbol" w:hint="default"/>
      </w:rPr>
    </w:lvl>
    <w:lvl w:ilvl="7" w:tplc="F7A878A4" w:tentative="1">
      <w:start w:val="1"/>
      <w:numFmt w:val="bullet"/>
      <w:lvlText w:val="o"/>
      <w:lvlJc w:val="left"/>
      <w:pPr>
        <w:ind w:left="5760" w:hanging="360"/>
      </w:pPr>
      <w:rPr>
        <w:rFonts w:ascii="Courier New" w:hAnsi="Courier New" w:cs="Courier New" w:hint="default"/>
      </w:rPr>
    </w:lvl>
    <w:lvl w:ilvl="8" w:tplc="BF104A3E" w:tentative="1">
      <w:start w:val="1"/>
      <w:numFmt w:val="bullet"/>
      <w:lvlText w:val=""/>
      <w:lvlJc w:val="left"/>
      <w:pPr>
        <w:ind w:left="6480" w:hanging="360"/>
      </w:pPr>
      <w:rPr>
        <w:rFonts w:ascii="Wingdings" w:hAnsi="Wingdings" w:hint="default"/>
      </w:rPr>
    </w:lvl>
  </w:abstractNum>
  <w:abstractNum w:abstractNumId="8" w15:restartNumberingAfterBreak="0">
    <w:nsid w:val="532E5207"/>
    <w:multiLevelType w:val="multilevel"/>
    <w:tmpl w:val="B13CDD56"/>
    <w:numStyleLink w:val="BulletedList"/>
  </w:abstractNum>
  <w:abstractNum w:abstractNumId="9" w15:restartNumberingAfterBreak="0">
    <w:nsid w:val="730B4ECD"/>
    <w:multiLevelType w:val="hybridMultilevel"/>
    <w:tmpl w:val="6C406044"/>
    <w:lvl w:ilvl="0" w:tplc="2BB8796C">
      <w:start w:val="1"/>
      <w:numFmt w:val="bullet"/>
      <w:pStyle w:val="BulletlistHighlight"/>
      <w:lvlText w:val=""/>
      <w:lvlJc w:val="left"/>
      <w:pPr>
        <w:ind w:left="288" w:hanging="288"/>
      </w:pPr>
      <w:rPr>
        <w:rFonts w:ascii="Symbol" w:hAnsi="Symbol" w:hint="default"/>
      </w:rPr>
    </w:lvl>
    <w:lvl w:ilvl="1" w:tplc="85F47430">
      <w:start w:val="1"/>
      <w:numFmt w:val="bullet"/>
      <w:lvlText w:val="o"/>
      <w:lvlJc w:val="left"/>
      <w:pPr>
        <w:ind w:left="576" w:hanging="216"/>
      </w:pPr>
      <w:rPr>
        <w:rFonts w:ascii="Courier New" w:hAnsi="Courier New" w:hint="default"/>
      </w:rPr>
    </w:lvl>
    <w:lvl w:ilvl="2" w:tplc="DC30C462">
      <w:start w:val="1"/>
      <w:numFmt w:val="bullet"/>
      <w:lvlText w:val=""/>
      <w:lvlJc w:val="left"/>
      <w:pPr>
        <w:ind w:left="864" w:hanging="216"/>
      </w:pPr>
      <w:rPr>
        <w:rFonts w:ascii="Wingdings" w:hAnsi="Wingdings" w:hint="default"/>
      </w:rPr>
    </w:lvl>
    <w:lvl w:ilvl="3" w:tplc="6FFC74A0" w:tentative="1">
      <w:start w:val="1"/>
      <w:numFmt w:val="bullet"/>
      <w:lvlText w:val=""/>
      <w:lvlJc w:val="left"/>
      <w:pPr>
        <w:ind w:left="2880" w:hanging="360"/>
      </w:pPr>
      <w:rPr>
        <w:rFonts w:ascii="Symbol" w:hAnsi="Symbol" w:hint="default"/>
      </w:rPr>
    </w:lvl>
    <w:lvl w:ilvl="4" w:tplc="933A9368" w:tentative="1">
      <w:start w:val="1"/>
      <w:numFmt w:val="bullet"/>
      <w:lvlText w:val="o"/>
      <w:lvlJc w:val="left"/>
      <w:pPr>
        <w:ind w:left="3600" w:hanging="360"/>
      </w:pPr>
      <w:rPr>
        <w:rFonts w:ascii="Courier New" w:hAnsi="Courier New" w:cs="Courier New" w:hint="default"/>
      </w:rPr>
    </w:lvl>
    <w:lvl w:ilvl="5" w:tplc="9CAE358E" w:tentative="1">
      <w:start w:val="1"/>
      <w:numFmt w:val="bullet"/>
      <w:lvlText w:val=""/>
      <w:lvlJc w:val="left"/>
      <w:pPr>
        <w:ind w:left="4320" w:hanging="360"/>
      </w:pPr>
      <w:rPr>
        <w:rFonts w:ascii="Wingdings" w:hAnsi="Wingdings" w:hint="default"/>
      </w:rPr>
    </w:lvl>
    <w:lvl w:ilvl="6" w:tplc="D10679BA" w:tentative="1">
      <w:start w:val="1"/>
      <w:numFmt w:val="bullet"/>
      <w:lvlText w:val=""/>
      <w:lvlJc w:val="left"/>
      <w:pPr>
        <w:ind w:left="5040" w:hanging="360"/>
      </w:pPr>
      <w:rPr>
        <w:rFonts w:ascii="Symbol" w:hAnsi="Symbol" w:hint="default"/>
      </w:rPr>
    </w:lvl>
    <w:lvl w:ilvl="7" w:tplc="77C8A5CE" w:tentative="1">
      <w:start w:val="1"/>
      <w:numFmt w:val="bullet"/>
      <w:lvlText w:val="o"/>
      <w:lvlJc w:val="left"/>
      <w:pPr>
        <w:ind w:left="5760" w:hanging="360"/>
      </w:pPr>
      <w:rPr>
        <w:rFonts w:ascii="Courier New" w:hAnsi="Courier New" w:cs="Courier New" w:hint="default"/>
      </w:rPr>
    </w:lvl>
    <w:lvl w:ilvl="8" w:tplc="5388E446" w:tentative="1">
      <w:start w:val="1"/>
      <w:numFmt w:val="bullet"/>
      <w:lvlText w:val=""/>
      <w:lvlJc w:val="left"/>
      <w:pPr>
        <w:ind w:left="6480" w:hanging="360"/>
      </w:pPr>
      <w:rPr>
        <w:rFonts w:ascii="Wingdings" w:hAnsi="Wingdings" w:hint="default"/>
      </w:rPr>
    </w:lvl>
  </w:abstractNum>
  <w:abstractNum w:abstractNumId="10" w15:restartNumberingAfterBreak="0">
    <w:nsid w:val="7D2E2B81"/>
    <w:multiLevelType w:val="hybridMultilevel"/>
    <w:tmpl w:val="04EAE202"/>
    <w:lvl w:ilvl="0" w:tplc="035C4394">
      <w:numFmt w:val="bullet"/>
      <w:lvlText w:val=""/>
      <w:lvlJc w:val="left"/>
      <w:pPr>
        <w:ind w:left="405" w:hanging="360"/>
      </w:pPr>
      <w:rPr>
        <w:rFonts w:ascii="Symbol" w:eastAsia="Times New Roman" w:hAnsi="Symbo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7FCA3C75"/>
    <w:multiLevelType w:val="hybridMultilevel"/>
    <w:tmpl w:val="3F14651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9"/>
  </w:num>
  <w:num w:numId="6">
    <w:abstractNumId w:val="3"/>
  </w:num>
  <w:num w:numId="7">
    <w:abstractNumId w:val="1"/>
    <w:lvlOverride w:ilvl="0">
      <w:lvl w:ilvl="0">
        <w:start w:val="1"/>
        <w:numFmt w:val="bullet"/>
        <w:lvlText w:val=""/>
        <w:lvlJc w:val="left"/>
        <w:pPr>
          <w:ind w:left="360" w:hanging="360"/>
        </w:pPr>
        <w:rPr>
          <w:rFonts w:ascii="Symbol" w:hAnsi="Symbol" w:hint="default"/>
          <w:color w:val="0B406B"/>
        </w:rPr>
      </w:lvl>
    </w:lvlOverride>
  </w:num>
  <w:num w:numId="8">
    <w:abstractNumId w:val="5"/>
  </w:num>
  <w:num w:numId="9">
    <w:abstractNumId w:val="8"/>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0NjUyMDA0MDIzMzBQ0lEKTi0uzszPAykwrAUAXv0jhiwAAAA="/>
  </w:docVars>
  <w:rsids>
    <w:rsidRoot w:val="0025251C"/>
    <w:rsid w:val="00034859"/>
    <w:rsid w:val="00084558"/>
    <w:rsid w:val="000847AD"/>
    <w:rsid w:val="00090473"/>
    <w:rsid w:val="000D5114"/>
    <w:rsid w:val="000D6276"/>
    <w:rsid w:val="0012162D"/>
    <w:rsid w:val="001327E9"/>
    <w:rsid w:val="0016683E"/>
    <w:rsid w:val="00171781"/>
    <w:rsid w:val="001725D9"/>
    <w:rsid w:val="0019038E"/>
    <w:rsid w:val="00195C59"/>
    <w:rsid w:val="00197A9E"/>
    <w:rsid w:val="001A775E"/>
    <w:rsid w:val="001B1A7E"/>
    <w:rsid w:val="001B501D"/>
    <w:rsid w:val="001B5774"/>
    <w:rsid w:val="001D6911"/>
    <w:rsid w:val="00230DF6"/>
    <w:rsid w:val="00235733"/>
    <w:rsid w:val="0024208C"/>
    <w:rsid w:val="002437A2"/>
    <w:rsid w:val="0025251C"/>
    <w:rsid w:val="00255CB4"/>
    <w:rsid w:val="0026000D"/>
    <w:rsid w:val="00263C92"/>
    <w:rsid w:val="002730F1"/>
    <w:rsid w:val="00282C22"/>
    <w:rsid w:val="002850C6"/>
    <w:rsid w:val="002C6637"/>
    <w:rsid w:val="002F02F6"/>
    <w:rsid w:val="00311E37"/>
    <w:rsid w:val="003243B0"/>
    <w:rsid w:val="003267EB"/>
    <w:rsid w:val="003349D5"/>
    <w:rsid w:val="003434BC"/>
    <w:rsid w:val="003465E9"/>
    <w:rsid w:val="0035530B"/>
    <w:rsid w:val="00375005"/>
    <w:rsid w:val="0037553A"/>
    <w:rsid w:val="00377AA8"/>
    <w:rsid w:val="003A6B72"/>
    <w:rsid w:val="003B63FB"/>
    <w:rsid w:val="003C10A8"/>
    <w:rsid w:val="00441851"/>
    <w:rsid w:val="004456BB"/>
    <w:rsid w:val="00484002"/>
    <w:rsid w:val="00485C3A"/>
    <w:rsid w:val="004967FA"/>
    <w:rsid w:val="004A65E6"/>
    <w:rsid w:val="004B125C"/>
    <w:rsid w:val="004B4373"/>
    <w:rsid w:val="004D5B03"/>
    <w:rsid w:val="004F3C17"/>
    <w:rsid w:val="00526C74"/>
    <w:rsid w:val="00534014"/>
    <w:rsid w:val="00534277"/>
    <w:rsid w:val="005806E6"/>
    <w:rsid w:val="00584B55"/>
    <w:rsid w:val="005A51AD"/>
    <w:rsid w:val="005A5BCC"/>
    <w:rsid w:val="005C5C1F"/>
    <w:rsid w:val="005D05D9"/>
    <w:rsid w:val="005E4D2F"/>
    <w:rsid w:val="005E5147"/>
    <w:rsid w:val="005E705E"/>
    <w:rsid w:val="00611F71"/>
    <w:rsid w:val="00677DD4"/>
    <w:rsid w:val="006A01DB"/>
    <w:rsid w:val="006A4CCA"/>
    <w:rsid w:val="006B2E3A"/>
    <w:rsid w:val="006D0148"/>
    <w:rsid w:val="006D2E23"/>
    <w:rsid w:val="006E3B62"/>
    <w:rsid w:val="00707343"/>
    <w:rsid w:val="00713439"/>
    <w:rsid w:val="007201D3"/>
    <w:rsid w:val="00731A58"/>
    <w:rsid w:val="00742075"/>
    <w:rsid w:val="007544FE"/>
    <w:rsid w:val="007A7250"/>
    <w:rsid w:val="007B0A8A"/>
    <w:rsid w:val="007C0BB7"/>
    <w:rsid w:val="007F6624"/>
    <w:rsid w:val="007F7168"/>
    <w:rsid w:val="00800F7E"/>
    <w:rsid w:val="00802FF0"/>
    <w:rsid w:val="00810CF0"/>
    <w:rsid w:val="00817EEE"/>
    <w:rsid w:val="008254B5"/>
    <w:rsid w:val="00826394"/>
    <w:rsid w:val="00844896"/>
    <w:rsid w:val="0084543D"/>
    <w:rsid w:val="008505A9"/>
    <w:rsid w:val="00876703"/>
    <w:rsid w:val="0089205C"/>
    <w:rsid w:val="008A7E71"/>
    <w:rsid w:val="008C01A9"/>
    <w:rsid w:val="008C3FE0"/>
    <w:rsid w:val="008C4D53"/>
    <w:rsid w:val="008C539C"/>
    <w:rsid w:val="008C5C05"/>
    <w:rsid w:val="008D2A95"/>
    <w:rsid w:val="008F109D"/>
    <w:rsid w:val="008F7B15"/>
    <w:rsid w:val="00916715"/>
    <w:rsid w:val="00926535"/>
    <w:rsid w:val="009321D4"/>
    <w:rsid w:val="00947E11"/>
    <w:rsid w:val="0095049F"/>
    <w:rsid w:val="0095450E"/>
    <w:rsid w:val="00957814"/>
    <w:rsid w:val="00965888"/>
    <w:rsid w:val="0098636D"/>
    <w:rsid w:val="00991404"/>
    <w:rsid w:val="00993033"/>
    <w:rsid w:val="009A663E"/>
    <w:rsid w:val="009B1176"/>
    <w:rsid w:val="009D4BB6"/>
    <w:rsid w:val="009E4DC9"/>
    <w:rsid w:val="009F3CA3"/>
    <w:rsid w:val="00A10595"/>
    <w:rsid w:val="00A209FF"/>
    <w:rsid w:val="00A337BD"/>
    <w:rsid w:val="00A357CD"/>
    <w:rsid w:val="00A44313"/>
    <w:rsid w:val="00A46068"/>
    <w:rsid w:val="00A47C53"/>
    <w:rsid w:val="00A504A2"/>
    <w:rsid w:val="00A51511"/>
    <w:rsid w:val="00A62BE1"/>
    <w:rsid w:val="00A83C9F"/>
    <w:rsid w:val="00A87F3D"/>
    <w:rsid w:val="00A95ADA"/>
    <w:rsid w:val="00AB4A6B"/>
    <w:rsid w:val="00AC04E8"/>
    <w:rsid w:val="00AC3168"/>
    <w:rsid w:val="00AD0649"/>
    <w:rsid w:val="00B23869"/>
    <w:rsid w:val="00B27C10"/>
    <w:rsid w:val="00B34A25"/>
    <w:rsid w:val="00B37E7B"/>
    <w:rsid w:val="00B40915"/>
    <w:rsid w:val="00B56C1A"/>
    <w:rsid w:val="00B727AD"/>
    <w:rsid w:val="00B84054"/>
    <w:rsid w:val="00B92DDA"/>
    <w:rsid w:val="00BC32B1"/>
    <w:rsid w:val="00BD25E0"/>
    <w:rsid w:val="00C2508E"/>
    <w:rsid w:val="00C36882"/>
    <w:rsid w:val="00C3780F"/>
    <w:rsid w:val="00C674F5"/>
    <w:rsid w:val="00C73DB9"/>
    <w:rsid w:val="00C82C3F"/>
    <w:rsid w:val="00C84C66"/>
    <w:rsid w:val="00C9359B"/>
    <w:rsid w:val="00CB6777"/>
    <w:rsid w:val="00CD271A"/>
    <w:rsid w:val="00CD41F2"/>
    <w:rsid w:val="00CD4BF9"/>
    <w:rsid w:val="00CF4251"/>
    <w:rsid w:val="00CF5E21"/>
    <w:rsid w:val="00D031F1"/>
    <w:rsid w:val="00D240D9"/>
    <w:rsid w:val="00D379D5"/>
    <w:rsid w:val="00D76FCB"/>
    <w:rsid w:val="00D8467E"/>
    <w:rsid w:val="00DA652F"/>
    <w:rsid w:val="00DB123E"/>
    <w:rsid w:val="00DB1E04"/>
    <w:rsid w:val="00DB4B64"/>
    <w:rsid w:val="00DC3880"/>
    <w:rsid w:val="00E16E6C"/>
    <w:rsid w:val="00E16FF3"/>
    <w:rsid w:val="00E6115F"/>
    <w:rsid w:val="00EA2BB6"/>
    <w:rsid w:val="00EB08C3"/>
    <w:rsid w:val="00EC1229"/>
    <w:rsid w:val="00EC2053"/>
    <w:rsid w:val="00EC6839"/>
    <w:rsid w:val="00ED6DB8"/>
    <w:rsid w:val="00EF5623"/>
    <w:rsid w:val="00EF7BE8"/>
    <w:rsid w:val="00F021E9"/>
    <w:rsid w:val="00F4032B"/>
    <w:rsid w:val="00F62C92"/>
    <w:rsid w:val="00F7310F"/>
    <w:rsid w:val="00FA082B"/>
    <w:rsid w:val="00FD61EC"/>
    <w:rsid w:val="00FD7DAA"/>
    <w:rsid w:val="00FF0B8B"/>
    <w:rsid w:val="00FF2E32"/>
    <w:rsid w:val="00FF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17ADC2-EC1A-4701-B76D-8D32F645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8A7E71"/>
    <w:pPr>
      <w:spacing w:after="120" w:line="228" w:lineRule="auto"/>
    </w:pPr>
    <w:rPr>
      <w:b/>
      <w:color w:val="5083C9"/>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8A7E71"/>
    <w:rPr>
      <w:b/>
      <w:color w:val="5083C9"/>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B56C1A"/>
    <w:pPr>
      <w:spacing w:before="160" w:after="0" w:line="216" w:lineRule="auto"/>
      <w:jc w:val="left"/>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B56C1A"/>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B727AD"/>
    <w:pPr>
      <w:spacing w:after="60"/>
    </w:pPr>
  </w:style>
  <w:style w:type="paragraph" w:customStyle="1" w:styleId="Checkbox">
    <w:name w:val="Checkbox"/>
    <w:basedOn w:val="BulletList"/>
    <w:link w:val="CheckboxChar"/>
    <w:qFormat/>
    <w:rsid w:val="00E16E6C"/>
    <w:pPr>
      <w:numPr>
        <w:numId w:val="3"/>
      </w:numPr>
      <w:tabs>
        <w:tab w:val="left" w:pos="540"/>
      </w:tabs>
      <w:ind w:hanging="450"/>
    </w:pPr>
  </w:style>
  <w:style w:type="character" w:customStyle="1" w:styleId="BulletListChar">
    <w:name w:val="Bullet List Char"/>
    <w:basedOn w:val="BodyTextChar"/>
    <w:link w:val="BulletList"/>
    <w:rsid w:val="00B727AD"/>
    <w:rPr>
      <w:rFonts w:ascii="Calibri" w:eastAsia="Times New Roman" w:hAnsi="Calibri" w:cs="Arial"/>
      <w:color w:val="595959"/>
      <w:szCs w:val="20"/>
    </w:rPr>
  </w:style>
  <w:style w:type="paragraph" w:customStyle="1" w:styleId="Xbox">
    <w:name w:val="Xbox"/>
    <w:basedOn w:val="Checkbox"/>
    <w:link w:val="XboxChar"/>
    <w:qFormat/>
    <w:rsid w:val="00E16E6C"/>
    <w:pPr>
      <w:numPr>
        <w:numId w:val="4"/>
      </w:numPr>
      <w:ind w:hanging="450"/>
    </w:pPr>
  </w:style>
  <w:style w:type="character" w:customStyle="1" w:styleId="CheckboxChar">
    <w:name w:val="Checkbox Char"/>
    <w:basedOn w:val="BulletListChar"/>
    <w:link w:val="Checkbox"/>
    <w:rsid w:val="00E16E6C"/>
    <w:rPr>
      <w:rFonts w:ascii="Calibri" w:eastAsia="Times New Roman" w:hAnsi="Calibri" w:cs="Arial"/>
      <w:color w:val="595959"/>
      <w:szCs w:val="20"/>
    </w:rPr>
  </w:style>
  <w:style w:type="paragraph" w:customStyle="1" w:styleId="CallOutBox">
    <w:name w:val="Call Out Box"/>
    <w:basedOn w:val="Footer"/>
    <w:link w:val="CallOutBoxChar"/>
    <w:qFormat/>
    <w:rsid w:val="00CF5E21"/>
    <w:pPr>
      <w:jc w:val="center"/>
    </w:pPr>
    <w:rPr>
      <w:b/>
      <w:i/>
      <w:color w:val="5083C9"/>
      <w:sz w:val="36"/>
      <w:szCs w:val="36"/>
    </w:rPr>
  </w:style>
  <w:style w:type="character" w:customStyle="1" w:styleId="XboxChar">
    <w:name w:val="Xbox Char"/>
    <w:basedOn w:val="CheckboxChar"/>
    <w:link w:val="Xbox"/>
    <w:rsid w:val="00E16E6C"/>
    <w:rPr>
      <w:rFonts w:ascii="Calibri" w:eastAsia="Times New Roman" w:hAnsi="Calibri" w:cs="Arial"/>
      <w:color w:val="595959"/>
      <w:szCs w:val="20"/>
    </w:rPr>
  </w:style>
  <w:style w:type="table" w:styleId="TableGrid">
    <w:name w:val="Table Grid"/>
    <w:basedOn w:val="TableNormal"/>
    <w:uiPriority w:val="39"/>
    <w:rsid w:val="00C8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OutBoxChar">
    <w:name w:val="Call Out Box Char"/>
    <w:basedOn w:val="FooterChar"/>
    <w:link w:val="CallOutBox"/>
    <w:rsid w:val="00CF5E21"/>
    <w:rPr>
      <w:b/>
      <w:i/>
      <w:color w:val="5083C9"/>
      <w:sz w:val="36"/>
      <w:szCs w:val="36"/>
    </w:rPr>
  </w:style>
  <w:style w:type="paragraph" w:customStyle="1" w:styleId="TableHeader">
    <w:name w:val="Table Header"/>
    <w:basedOn w:val="BodyText"/>
    <w:link w:val="TableHeaderChar"/>
    <w:qFormat/>
    <w:rsid w:val="00B56C1A"/>
    <w:pPr>
      <w:spacing w:before="80" w:after="80"/>
      <w:jc w:val="center"/>
    </w:pPr>
    <w:rPr>
      <w:b/>
      <w:color w:val="FFFFFF" w:themeColor="background1"/>
      <w:sz w:val="26"/>
      <w:szCs w:val="26"/>
    </w:rPr>
  </w:style>
  <w:style w:type="character" w:customStyle="1" w:styleId="TableHeaderChar">
    <w:name w:val="Table Header Char"/>
    <w:basedOn w:val="BodyTextChar"/>
    <w:link w:val="TableHeader"/>
    <w:rsid w:val="00B56C1A"/>
    <w:rPr>
      <w:rFonts w:ascii="Calibri" w:eastAsia="Times New Roman" w:hAnsi="Calibri" w:cs="Arial"/>
      <w:b/>
      <w:color w:val="FFFFFF" w:themeColor="background1"/>
      <w:sz w:val="26"/>
      <w:szCs w:val="26"/>
    </w:rPr>
  </w:style>
  <w:style w:type="character" w:styleId="Hyperlink">
    <w:name w:val="Hyperlink"/>
    <w:basedOn w:val="DefaultParagraphFont"/>
    <w:uiPriority w:val="99"/>
    <w:unhideWhenUsed/>
    <w:rsid w:val="008C01A9"/>
    <w:rPr>
      <w:color w:val="0563C1" w:themeColor="hyperlink"/>
      <w:u w:val="single"/>
    </w:rPr>
  </w:style>
  <w:style w:type="paragraph" w:customStyle="1" w:styleId="BulletlistHighlight">
    <w:name w:val="Bullet list Highlight"/>
    <w:basedOn w:val="BodyText"/>
    <w:rsid w:val="008C01A9"/>
    <w:pPr>
      <w:numPr>
        <w:numId w:val="5"/>
      </w:numPr>
      <w:spacing w:before="120" w:after="120"/>
    </w:pPr>
    <w:rPr>
      <w:color w:val="FFFFFF"/>
    </w:rPr>
  </w:style>
  <w:style w:type="paragraph" w:customStyle="1" w:styleId="LR-Heading">
    <w:name w:val="LR-Heading"/>
    <w:basedOn w:val="Normal"/>
    <w:link w:val="LR-HeadingChar"/>
    <w:qFormat/>
    <w:rsid w:val="008C01A9"/>
    <w:pPr>
      <w:spacing w:before="120" w:after="120" w:line="240" w:lineRule="auto"/>
    </w:pPr>
    <w:rPr>
      <w:rFonts w:ascii="Calibri" w:eastAsia="Times New Roman" w:hAnsi="Calibri" w:cs="Times New Roman"/>
      <w:b/>
      <w:caps/>
      <w:color w:val="595959"/>
      <w:sz w:val="28"/>
      <w:szCs w:val="20"/>
    </w:rPr>
  </w:style>
  <w:style w:type="character" w:customStyle="1" w:styleId="LR-HeadingChar">
    <w:name w:val="LR-Heading Char"/>
    <w:link w:val="LR-Heading"/>
    <w:rsid w:val="008C01A9"/>
    <w:rPr>
      <w:rFonts w:ascii="Calibri" w:eastAsia="Times New Roman" w:hAnsi="Calibri" w:cs="Times New Roman"/>
      <w:b/>
      <w:caps/>
      <w:color w:val="595959"/>
      <w:sz w:val="28"/>
      <w:szCs w:val="20"/>
    </w:rPr>
  </w:style>
  <w:style w:type="paragraph" w:customStyle="1" w:styleId="LR-BulletList">
    <w:name w:val="LR-Bullet List"/>
    <w:basedOn w:val="BulletlistHighlight"/>
    <w:link w:val="LR-BulletListChar"/>
    <w:qFormat/>
    <w:rsid w:val="008C01A9"/>
    <w:rPr>
      <w:color w:val="595959"/>
    </w:rPr>
  </w:style>
  <w:style w:type="character" w:customStyle="1" w:styleId="LR-BulletListChar">
    <w:name w:val="LR-Bullet List Char"/>
    <w:link w:val="LR-BulletList"/>
    <w:rsid w:val="008C01A9"/>
    <w:rPr>
      <w:rFonts w:ascii="Calibri" w:eastAsia="Times New Roman" w:hAnsi="Calibri" w:cs="Arial"/>
      <w:color w:val="595959"/>
      <w:szCs w:val="20"/>
    </w:rPr>
  </w:style>
  <w:style w:type="numbering" w:customStyle="1" w:styleId="BulletedList">
    <w:name w:val="Bulleted List"/>
    <w:uiPriority w:val="99"/>
    <w:rsid w:val="005806E6"/>
    <w:pPr>
      <w:numPr>
        <w:numId w:val="6"/>
      </w:numPr>
    </w:pPr>
  </w:style>
  <w:style w:type="paragraph" w:customStyle="1" w:styleId="Bullet">
    <w:name w:val="Bullet"/>
    <w:basedOn w:val="BodyText"/>
    <w:link w:val="BulletChar"/>
    <w:qFormat/>
    <w:rsid w:val="00731A58"/>
    <w:pPr>
      <w:numPr>
        <w:numId w:val="10"/>
      </w:numPr>
      <w:spacing w:after="0"/>
    </w:pPr>
  </w:style>
  <w:style w:type="character" w:customStyle="1" w:styleId="BulletChar">
    <w:name w:val="Bullet Char"/>
    <w:basedOn w:val="BodyTextChar"/>
    <w:link w:val="Bullet"/>
    <w:rsid w:val="00731A58"/>
    <w:rPr>
      <w:rFonts w:ascii="Calibri" w:eastAsia="Times New Roman" w:hAnsi="Calibri" w:cs="Arial"/>
      <w:color w:val="595959"/>
      <w:szCs w:val="20"/>
    </w:rPr>
  </w:style>
  <w:style w:type="paragraph" w:customStyle="1" w:styleId="T-Text">
    <w:name w:val="T-Text"/>
    <w:basedOn w:val="Normal"/>
    <w:link w:val="T-TextChar"/>
    <w:rsid w:val="00B56C1A"/>
    <w:pPr>
      <w:spacing w:before="120" w:after="120" w:line="240" w:lineRule="auto"/>
    </w:pPr>
    <w:rPr>
      <w:rFonts w:ascii="Calibri" w:eastAsia="Calibri" w:hAnsi="Calibri" w:cs="Times New Roman"/>
      <w:color w:val="595959"/>
      <w:szCs w:val="20"/>
    </w:rPr>
  </w:style>
  <w:style w:type="character" w:customStyle="1" w:styleId="T-TextChar">
    <w:name w:val="T-Text Char"/>
    <w:link w:val="T-Text"/>
    <w:rsid w:val="00B56C1A"/>
    <w:rPr>
      <w:rFonts w:ascii="Calibri" w:eastAsia="Calibri" w:hAnsi="Calibri" w:cs="Times New Roman"/>
      <w:color w:val="595959"/>
      <w:szCs w:val="20"/>
    </w:rPr>
  </w:style>
  <w:style w:type="paragraph" w:customStyle="1" w:styleId="HighlightsHeading">
    <w:name w:val="Highlights Heading"/>
    <w:basedOn w:val="SubHeader"/>
    <w:link w:val="HighlightsHeadingChar"/>
    <w:qFormat/>
    <w:rsid w:val="008D2A95"/>
    <w:pPr>
      <w:spacing w:before="0"/>
    </w:pPr>
    <w:rPr>
      <w:color w:val="5083C9"/>
      <w:sz w:val="32"/>
      <w:szCs w:val="32"/>
    </w:rPr>
  </w:style>
  <w:style w:type="character" w:customStyle="1" w:styleId="HighlightsHeadingChar">
    <w:name w:val="Highlights Heading Char"/>
    <w:basedOn w:val="SubHeaderChar"/>
    <w:link w:val="HighlightsHeading"/>
    <w:rsid w:val="008D2A95"/>
    <w:rPr>
      <w:rFonts w:ascii="Calibri" w:eastAsia="Times New Roman" w:hAnsi="Calibri" w:cs="Arial"/>
      <w:b/>
      <w:color w:val="5083C9"/>
      <w:sz w:val="32"/>
      <w:szCs w:val="32"/>
    </w:rPr>
  </w:style>
  <w:style w:type="character" w:styleId="FollowedHyperlink">
    <w:name w:val="FollowedHyperlink"/>
    <w:basedOn w:val="DefaultParagraphFont"/>
    <w:uiPriority w:val="99"/>
    <w:semiHidden/>
    <w:unhideWhenUsed/>
    <w:rsid w:val="00A209FF"/>
    <w:rPr>
      <w:color w:val="954F72" w:themeColor="followedHyperlink"/>
      <w:u w:val="single"/>
    </w:rPr>
  </w:style>
  <w:style w:type="character" w:styleId="CommentReference">
    <w:name w:val="annotation reference"/>
    <w:basedOn w:val="DefaultParagraphFont"/>
    <w:uiPriority w:val="99"/>
    <w:semiHidden/>
    <w:unhideWhenUsed/>
    <w:rsid w:val="00A209FF"/>
    <w:rPr>
      <w:sz w:val="16"/>
      <w:szCs w:val="16"/>
    </w:rPr>
  </w:style>
  <w:style w:type="paragraph" w:styleId="CommentText">
    <w:name w:val="annotation text"/>
    <w:basedOn w:val="Normal"/>
    <w:link w:val="CommentTextChar"/>
    <w:uiPriority w:val="99"/>
    <w:semiHidden/>
    <w:unhideWhenUsed/>
    <w:rsid w:val="00A209FF"/>
    <w:pPr>
      <w:spacing w:line="240" w:lineRule="auto"/>
    </w:pPr>
    <w:rPr>
      <w:sz w:val="20"/>
      <w:szCs w:val="20"/>
    </w:rPr>
  </w:style>
  <w:style w:type="character" w:customStyle="1" w:styleId="CommentTextChar">
    <w:name w:val="Comment Text Char"/>
    <w:basedOn w:val="DefaultParagraphFont"/>
    <w:link w:val="CommentText"/>
    <w:uiPriority w:val="99"/>
    <w:semiHidden/>
    <w:rsid w:val="00A209FF"/>
    <w:rPr>
      <w:sz w:val="20"/>
      <w:szCs w:val="20"/>
    </w:rPr>
  </w:style>
  <w:style w:type="paragraph" w:styleId="CommentSubject">
    <w:name w:val="annotation subject"/>
    <w:basedOn w:val="CommentText"/>
    <w:next w:val="CommentText"/>
    <w:link w:val="CommentSubjectChar"/>
    <w:uiPriority w:val="99"/>
    <w:semiHidden/>
    <w:unhideWhenUsed/>
    <w:rsid w:val="00A209FF"/>
    <w:rPr>
      <w:b/>
      <w:bCs/>
    </w:rPr>
  </w:style>
  <w:style w:type="character" w:customStyle="1" w:styleId="CommentSubjectChar">
    <w:name w:val="Comment Subject Char"/>
    <w:basedOn w:val="CommentTextChar"/>
    <w:link w:val="CommentSubject"/>
    <w:uiPriority w:val="99"/>
    <w:semiHidden/>
    <w:rsid w:val="00A209FF"/>
    <w:rPr>
      <w:b/>
      <w:bCs/>
      <w:sz w:val="20"/>
      <w:szCs w:val="20"/>
    </w:rPr>
  </w:style>
  <w:style w:type="paragraph" w:styleId="BalloonText">
    <w:name w:val="Balloon Text"/>
    <w:basedOn w:val="Normal"/>
    <w:link w:val="BalloonTextChar"/>
    <w:uiPriority w:val="99"/>
    <w:semiHidden/>
    <w:unhideWhenUsed/>
    <w:rsid w:val="00A20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9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rs.gov/pub/irs-drop/rp-21-25.pdf" TargetMode="External"/><Relationship Id="rId18" Type="http://schemas.openxmlformats.org/officeDocument/2006/relationships/hyperlink" Target="https://www.dol.gov/sites/default/files/ebsa/laws-and-regulations/laws/affordable-care-act/for-employers-and-advisers/grandfathered-health-plans-model-notice.doc" TargetMode="External"/><Relationship Id="rId26" Type="http://schemas.openxmlformats.org/officeDocument/2006/relationships/hyperlink" Target="https://www.cms.gov/Medicare/Prescription-Drug-Coverage/CreditableCoverage/Model-Notice-Letters.html" TargetMode="External"/><Relationship Id="rId3" Type="http://schemas.openxmlformats.org/officeDocument/2006/relationships/settings" Target="settings.xml"/><Relationship Id="rId21" Type="http://schemas.openxmlformats.org/officeDocument/2006/relationships/hyperlink" Target="https://www.dol.gov/sites/default/files/ebsa/about-ebsa/our-activities/resource-center/publications/compliance-assistance-guide-appendix-c.pdf" TargetMode="External"/><Relationship Id="rId7" Type="http://schemas.openxmlformats.org/officeDocument/2006/relationships/image" Target="media/image1.png"/><Relationship Id="rId12" Type="http://schemas.openxmlformats.org/officeDocument/2006/relationships/hyperlink" Target="https://www.dol.gov/agencies/ebsa/laws-and-regulations/laws/cobra" TargetMode="External"/><Relationship Id="rId17" Type="http://schemas.openxmlformats.org/officeDocument/2006/relationships/hyperlink" Target="https://www.cms.gov/cciio/Resources/forms-reports-and-other-resources/index.html" TargetMode="External"/><Relationship Id="rId25" Type="http://schemas.openxmlformats.org/officeDocument/2006/relationships/hyperlink" Target="https://www.dol.gov/sites/default/files/ebsa/about-ebsa/our-activities/resource-center/publications/compliance-assistance-guide-appendix-c.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spreventiveservicestaskforce.org/Page/Name/uspstf-a-and-b-recommendations-by-date/" TargetMode="External"/><Relationship Id="rId20" Type="http://schemas.openxmlformats.org/officeDocument/2006/relationships/hyperlink" Target="https://www.dol.gov/sites/dolgov/files/EBSA/laws-and-regulations/laws/cobra/model-general-notice.docx" TargetMode="External"/><Relationship Id="rId29" Type="http://schemas.openxmlformats.org/officeDocument/2006/relationships/hyperlink" Target="https://www.eeoc.gov/laws/regulations/ada-wellness-notice.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l.gov/sites/default/files/ebsa/about-ebsa/our-activities/resource-center/publications/compliance-assistance-guide-appendix-c.pdf" TargetMode="External"/><Relationship Id="rId24" Type="http://schemas.openxmlformats.org/officeDocument/2006/relationships/hyperlink" Target="https://www.dol.gov/sites/default/files/ebsa/about-ebsa/our-activities/resource-center/publications/compliance-assistance-guide-appendix-c.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ol.gov/agencies/ebsa/laws-and-regulations/laws/cobra" TargetMode="External"/><Relationship Id="rId23" Type="http://schemas.openxmlformats.org/officeDocument/2006/relationships/hyperlink" Target="https://www.dol.gov/sites/default/files/ebsa/laws-and-regulations/laws/chipra/model-notice.doc" TargetMode="External"/><Relationship Id="rId28" Type="http://schemas.openxmlformats.org/officeDocument/2006/relationships/hyperlink" Target="https://www.dol.gov/sites/default/files/ebsa/about-ebsa/our-activities/resource-center/publications/compliance-assistance-guide-appendix-c.pdf" TargetMode="External"/><Relationship Id="rId10" Type="http://schemas.openxmlformats.org/officeDocument/2006/relationships/hyperlink" Target="https://www.irs.gov/pub/irs-drop/rp-21-25.pdf" TargetMode="External"/><Relationship Id="rId19" Type="http://schemas.openxmlformats.org/officeDocument/2006/relationships/hyperlink" Target="https://www.dol.gov/sites/default/files/ebsa/laws-and-regulations/laws/affordable-care-act/for-employers-and-advisers/patient-protection-model-notice.doc"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ol.gov/sites/default/files/ebsa/about-ebsa/our-activities/resource-center/publications/compliance-assistance-guide-appendix-c.pdf" TargetMode="External"/><Relationship Id="rId22" Type="http://schemas.openxmlformats.org/officeDocument/2006/relationships/hyperlink" Target="http://www.hhs.gov/hipaa/for-professionals/privacy/guidance/model-notices-privacy-practices/" TargetMode="External"/><Relationship Id="rId27" Type="http://schemas.openxmlformats.org/officeDocument/2006/relationships/hyperlink" Target="https://www.dol.gov/sites/dolgov/files/EBSA/employers-and-advisers/plan-administration-and-compliance/form-sar-welfare-plan.docx"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3577</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Rollefson, Becca</dc:creator>
  <cp:lastModifiedBy>Leeann Hupfer</cp:lastModifiedBy>
  <cp:revision>2</cp:revision>
  <dcterms:created xsi:type="dcterms:W3CDTF">2021-11-23T17:13:00Z</dcterms:created>
  <dcterms:modified xsi:type="dcterms:W3CDTF">2021-11-23T17:13:00Z</dcterms:modified>
</cp:coreProperties>
</file>